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itreCRACHUSJ"/>
      </w:pPr>
      <w:r>
        <w:drawing>
          <wp:anchor distT="0" distB="252095" distL="114300" distR="360045" simplePos="0" relativeHeight="251659264" behindDoc="1" locked="0" layoutInCell="1" allowOverlap="0">
            <wp:simplePos x="0" y="0"/>
            <wp:positionH relativeFrom="margin">
              <wp:posOffset>-394998</wp:posOffset>
            </wp:positionH>
            <wp:positionV relativeFrom="margin">
              <wp:posOffset>-381313</wp:posOffset>
            </wp:positionV>
            <wp:extent cx="1425600" cy="950400"/>
            <wp:effectExtent l="0" t="0" r="0" b="0"/>
            <wp:wrapSquare wrapText="right"/>
            <wp:docPr id="95762323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623230" name="Imag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5600" cy="950400"/>
                    </a:xfrm>
                    <a:prstGeom prst="rect">
                      <a:avLst/>
                    </a:prstGeom>
                  </pic:spPr>
                </pic:pic>
              </a:graphicData>
            </a:graphic>
            <wp14:sizeRelH relativeFrom="margin">
              <wp14:pctWidth>0</wp14:pctWidth>
            </wp14:sizeRelH>
            <wp14:sizeRelV relativeFrom="margin">
              <wp14:pctHeight>0</wp14:pctHeight>
            </wp14:sizeRelV>
          </wp:anchor>
        </w:drawing>
      </w:r>
      <w:r>
        <w:t xml:space="preserve">Plan de gestion des données (PGD) </w:t>
      </w:r>
      <w:r>
        <w:br/>
        <w:t>Modèle court du Centre de recherche Azrieli du CHU Sainte-Justine</w:t>
      </w:r>
    </w:p>
    <w:p>
      <w:pPr>
        <w:spacing w:after="0"/>
        <w:rPr>
          <w:rFonts w:cs="Arial"/>
          <w:sz w:val="24"/>
        </w:rPr>
      </w:pPr>
    </w:p>
    <w:p>
      <w:pPr>
        <w:jc w:val="both"/>
        <w:rPr>
          <w:b/>
          <w:sz w:val="26"/>
          <w:szCs w:val="26"/>
        </w:rPr>
      </w:pPr>
      <w:r>
        <w:rPr>
          <w:b/>
          <w:sz w:val="26"/>
          <w:szCs w:val="26"/>
        </w:rPr>
        <w:t>À propos du modèle court :</w:t>
      </w:r>
    </w:p>
    <w:p>
      <w:pPr>
        <w:jc w:val="both"/>
        <w:rPr>
          <w:rFonts w:cs="Arial"/>
        </w:rPr>
      </w:pPr>
      <w:r>
        <w:rPr>
          <w:rFonts w:cs="Arial"/>
        </w:rPr>
        <w:t xml:space="preserve">Voici la version courte du </w:t>
      </w:r>
      <w:hyperlink r:id="rId12" w:history="1">
        <w:r>
          <w:rPr>
            <w:rStyle w:val="Lienhypertexte"/>
            <w:rFonts w:cs="Arial"/>
            <w:b/>
          </w:rPr>
          <w:t>modèle de PGD du CHU Sainte-Justine</w:t>
        </w:r>
      </w:hyperlink>
      <w:r>
        <w:rPr>
          <w:rFonts w:cs="Arial"/>
        </w:rPr>
        <w:t xml:space="preserve"> que vous connaissez déjà. Si vous n’avez jamais rédigé de PGD, vous aurez peut-être besoin des </w:t>
      </w:r>
      <w:r>
        <w:rPr>
          <w:rFonts w:cs="Arial"/>
          <w:b/>
        </w:rPr>
        <w:t>directives et ressources additionnelles qui se retrouvent dans le modèle régulier</w:t>
      </w:r>
      <w:r>
        <w:rPr>
          <w:rFonts w:cs="Arial"/>
        </w:rPr>
        <w:t xml:space="preserve">. Cette version courte s’insère facilement dans votre protocole, votre F11 (formulaire d’évaluation éthique) ou vos demandes de financement. Le format final de votre PGD court est un paragraphe de longueur variable qui contient les informations importantes de votre gestion des données de recherche. </w:t>
      </w:r>
      <w:r>
        <w:rPr>
          <w:rFonts w:cs="Arial"/>
          <w:b/>
        </w:rPr>
        <w:t>N’indiquez que les éléments qui concernent votre projet.</w:t>
      </w:r>
      <w:r>
        <w:rPr>
          <w:rFonts w:cs="Arial"/>
        </w:rPr>
        <w:t xml:space="preserve"> Le but de cet outil est de démontrer que vo</w:t>
      </w:r>
      <w:bookmarkStart w:id="0" w:name="_GoBack"/>
      <w:bookmarkEnd w:id="0"/>
      <w:r>
        <w:rPr>
          <w:rFonts w:cs="Arial"/>
        </w:rPr>
        <w:t>us avez réfléchi aux aspects suivants et que vous vous engagez à respecter les bonnes pratiques associées à chaque élément.</w:t>
      </w:r>
    </w:p>
    <w:p>
      <w:pPr>
        <w:jc w:val="both"/>
        <w:rPr>
          <w:rFonts w:cs="Arial"/>
        </w:rPr>
      </w:pPr>
      <w:r>
        <w:rPr>
          <w:rFonts w:cs="Arial"/>
        </w:rPr>
        <w:t xml:space="preserve">Des </w:t>
      </w:r>
      <w:hyperlink r:id="rId13" w:history="1">
        <w:r>
          <w:rPr>
            <w:rStyle w:val="Lienhypertexte"/>
            <w:rFonts w:cs="Arial"/>
            <w:b/>
          </w:rPr>
          <w:t>ressources</w:t>
        </w:r>
      </w:hyperlink>
      <w:r>
        <w:rPr>
          <w:rFonts w:cs="Arial"/>
        </w:rPr>
        <w:t xml:space="preserve"> et des </w:t>
      </w:r>
      <w:hyperlink r:id="rId14" w:history="1">
        <w:r>
          <w:rPr>
            <w:rStyle w:val="Lienhypertexte"/>
            <w:rFonts w:cs="Arial"/>
            <w:b/>
          </w:rPr>
          <w:t>formations</w:t>
        </w:r>
      </w:hyperlink>
      <w:r>
        <w:rPr>
          <w:rFonts w:cs="Arial"/>
        </w:rPr>
        <w:t xml:space="preserve"> sont à votre disposition pour guider votre rédaction. Pour toute question sur le contenu de ce modèle ou sur la gestion des données de recherche, contactez l’équipe de Soutien GDR à </w:t>
      </w:r>
      <w:hyperlink r:id="rId15" w:history="1">
        <w:r>
          <w:rPr>
            <w:rStyle w:val="Lienhypertexte"/>
            <w:rFonts w:cs="Arial"/>
            <w:b/>
            <w:bCs/>
          </w:rPr>
          <w:t>soutien.gdr.hsj@ssss.gouv.qc.ca</w:t>
        </w:r>
      </w:hyperlink>
      <w:r>
        <w:rPr>
          <w:rFonts w:cs="Arial"/>
        </w:rPr>
        <w:t>.</w:t>
      </w:r>
    </w:p>
    <w:p>
      <w:pPr>
        <w:jc w:val="both"/>
        <w:rPr>
          <w:rFonts w:cs="Arial"/>
        </w:rPr>
      </w:pPr>
    </w:p>
    <w:p>
      <w:pPr>
        <w:jc w:val="both"/>
        <w:rPr>
          <w:rFonts w:cs="Arial"/>
          <w:b/>
          <w:bCs/>
        </w:rPr>
      </w:pPr>
      <w:r>
        <w:rPr>
          <w:rFonts w:cs="Arial"/>
          <w:b/>
          <w:bCs/>
        </w:rPr>
        <w:t>Notamment, votre PGD court doit aborder les aspects suivants de votre gestion des données de recherche :</w:t>
      </w:r>
    </w:p>
    <w:p>
      <w:pPr>
        <w:jc w:val="both"/>
        <w:rPr>
          <w:rFonts w:cs="Arial"/>
          <w:u w:val="single"/>
        </w:rPr>
      </w:pPr>
      <w:r>
        <w:rPr>
          <w:rFonts w:cs="Arial"/>
          <w:u w:val="single"/>
        </w:rPr>
        <w:t>Collecte de données</w:t>
      </w:r>
    </w:p>
    <w:p>
      <w:pPr>
        <w:numPr>
          <w:ilvl w:val="0"/>
          <w:numId w:val="5"/>
        </w:numPr>
        <w:spacing w:after="0" w:line="276" w:lineRule="auto"/>
        <w:ind w:left="714" w:hanging="357"/>
        <w:jc w:val="both"/>
        <w:rPr>
          <w:rFonts w:cs="Arial"/>
        </w:rPr>
      </w:pPr>
      <w:r>
        <w:rPr>
          <w:rFonts w:cs="Arial"/>
        </w:rPr>
        <w:t>Types de données;</w:t>
      </w:r>
    </w:p>
    <w:p>
      <w:pPr>
        <w:numPr>
          <w:ilvl w:val="0"/>
          <w:numId w:val="5"/>
        </w:numPr>
        <w:spacing w:after="0" w:line="276" w:lineRule="auto"/>
        <w:ind w:left="714" w:hanging="357"/>
        <w:jc w:val="both"/>
        <w:rPr>
          <w:rFonts w:cs="Arial"/>
        </w:rPr>
      </w:pPr>
      <w:r>
        <w:rPr>
          <w:rFonts w:cs="Arial"/>
        </w:rPr>
        <w:t>Formats des données numériques;</w:t>
      </w:r>
    </w:p>
    <w:p>
      <w:pPr>
        <w:numPr>
          <w:ilvl w:val="0"/>
          <w:numId w:val="5"/>
        </w:numPr>
        <w:spacing w:after="0" w:line="276" w:lineRule="auto"/>
        <w:ind w:left="714" w:hanging="357"/>
        <w:jc w:val="both"/>
        <w:rPr>
          <w:rFonts w:cs="Arial"/>
        </w:rPr>
      </w:pPr>
      <w:r>
        <w:rPr>
          <w:rFonts w:cs="Arial"/>
        </w:rPr>
        <w:t>Sources de données (données originales, données publiques, banque de données, etc.);</w:t>
      </w:r>
    </w:p>
    <w:p>
      <w:pPr>
        <w:numPr>
          <w:ilvl w:val="0"/>
          <w:numId w:val="5"/>
        </w:numPr>
        <w:spacing w:after="0" w:line="276" w:lineRule="auto"/>
        <w:ind w:left="714" w:hanging="357"/>
        <w:jc w:val="both"/>
        <w:rPr>
          <w:rFonts w:cs="Arial"/>
        </w:rPr>
      </w:pPr>
      <w:r>
        <w:rPr>
          <w:rFonts w:cs="Arial"/>
        </w:rPr>
        <w:t>Outils de collecte (REDCap, Microsoft Forms, entretiens, questionnaires papiers, applications mobiles, vêtements connectés, capteurs, etc.);</w:t>
      </w:r>
    </w:p>
    <w:p>
      <w:pPr>
        <w:numPr>
          <w:ilvl w:val="0"/>
          <w:numId w:val="5"/>
        </w:numPr>
        <w:spacing w:after="0" w:line="276" w:lineRule="auto"/>
        <w:ind w:left="714" w:hanging="357"/>
        <w:jc w:val="both"/>
        <w:rPr>
          <w:rFonts w:cs="Arial"/>
        </w:rPr>
      </w:pPr>
      <w:r>
        <w:rPr>
          <w:rFonts w:cs="Arial"/>
        </w:rPr>
        <w:t>Méthode de collecte (ex. Façon dont les sondages seront acheminés aux participants, détaillez les points de contact avec les participants, outils de vidéo-conférence pour les entrevues si applicable, outil ou méthode de transcription d’entrevues si applicable);</w:t>
      </w:r>
    </w:p>
    <w:p>
      <w:pPr>
        <w:numPr>
          <w:ilvl w:val="0"/>
          <w:numId w:val="5"/>
        </w:numPr>
        <w:spacing w:after="0" w:line="276" w:lineRule="auto"/>
        <w:jc w:val="both"/>
        <w:rPr>
          <w:rFonts w:cs="Arial"/>
        </w:rPr>
      </w:pPr>
      <w:r>
        <w:rPr>
          <w:rFonts w:cs="Arial"/>
        </w:rPr>
        <w:t>Outils d’analyse (ex. Logiciels, versions des logiciels);</w:t>
      </w:r>
    </w:p>
    <w:p>
      <w:pPr>
        <w:numPr>
          <w:ilvl w:val="0"/>
          <w:numId w:val="5"/>
        </w:numPr>
        <w:spacing w:after="0" w:line="276" w:lineRule="auto"/>
        <w:jc w:val="both"/>
        <w:rPr>
          <w:rFonts w:cs="Arial"/>
        </w:rPr>
      </w:pPr>
      <w:r>
        <w:rPr>
          <w:rFonts w:cs="Arial"/>
        </w:rPr>
        <w:t>Méthodes de dépersonnalisation ou d’anonymisation (indiquez l’étape du projet où aura lieu la dépersonnalisation ou l’anonymisation);</w:t>
      </w:r>
    </w:p>
    <w:p>
      <w:pPr>
        <w:numPr>
          <w:ilvl w:val="0"/>
          <w:numId w:val="5"/>
        </w:numPr>
        <w:spacing w:after="0" w:line="276" w:lineRule="auto"/>
        <w:jc w:val="both"/>
        <w:rPr>
          <w:rFonts w:cs="Arial"/>
        </w:rPr>
      </w:pPr>
      <w:r>
        <w:rPr>
          <w:rFonts w:cs="Arial"/>
        </w:rPr>
        <w:t>Mesures de sécurité pour la clé du code/grille de correspondance s’il y a lieu (inclure lieu de stockage);</w:t>
      </w:r>
    </w:p>
    <w:p>
      <w:pPr>
        <w:numPr>
          <w:ilvl w:val="0"/>
          <w:numId w:val="5"/>
        </w:numPr>
        <w:spacing w:after="0" w:line="276" w:lineRule="auto"/>
        <w:jc w:val="both"/>
        <w:rPr>
          <w:rFonts w:cs="Arial"/>
        </w:rPr>
      </w:pPr>
      <w:r>
        <w:rPr>
          <w:rFonts w:cs="Arial"/>
        </w:rPr>
        <w:t xml:space="preserve">Si les données sont collectées de manières anonymes, veuillez décrire les </w:t>
      </w:r>
      <w:hyperlink r:id="rId16" w:history="1">
        <w:r>
          <w:rPr>
            <w:rStyle w:val="Lienhypertexte"/>
            <w:rFonts w:cs="Arial"/>
          </w:rPr>
          <w:t>identifiants indirects</w:t>
        </w:r>
      </w:hyperlink>
      <w:r>
        <w:rPr>
          <w:rFonts w:cs="Arial"/>
        </w:rPr>
        <w:t xml:space="preserve"> que vous collecterez.</w:t>
      </w:r>
    </w:p>
    <w:p>
      <w:pPr>
        <w:jc w:val="both"/>
        <w:rPr>
          <w:rFonts w:cs="Arial"/>
        </w:rPr>
      </w:pPr>
    </w:p>
    <w:p>
      <w:pPr>
        <w:jc w:val="both"/>
        <w:rPr>
          <w:rFonts w:cs="Arial"/>
          <w:u w:val="single"/>
        </w:rPr>
      </w:pPr>
      <w:r>
        <w:rPr>
          <w:rFonts w:cs="Arial"/>
          <w:u w:val="single"/>
        </w:rPr>
        <w:t>Stockage, sauvegarde et préservation</w:t>
      </w:r>
    </w:p>
    <w:p>
      <w:pPr>
        <w:numPr>
          <w:ilvl w:val="0"/>
          <w:numId w:val="6"/>
        </w:numPr>
        <w:spacing w:after="0" w:line="276" w:lineRule="auto"/>
        <w:jc w:val="both"/>
        <w:rPr>
          <w:rFonts w:cs="Arial"/>
        </w:rPr>
      </w:pPr>
      <w:r>
        <w:rPr>
          <w:rFonts w:cs="Arial"/>
        </w:rPr>
        <w:t>Lieux de stockage des données papiers, mesures de sécurité;</w:t>
      </w:r>
    </w:p>
    <w:p>
      <w:pPr>
        <w:numPr>
          <w:ilvl w:val="0"/>
          <w:numId w:val="6"/>
        </w:numPr>
        <w:spacing w:after="0" w:line="276" w:lineRule="auto"/>
        <w:jc w:val="both"/>
        <w:rPr>
          <w:rFonts w:cs="Arial"/>
        </w:rPr>
      </w:pPr>
      <w:r>
        <w:rPr>
          <w:rFonts w:cs="Arial"/>
        </w:rPr>
        <w:t>Lieux de stockage des données numériques, mesures de sécurité, stratégies de sauvegarde;</w:t>
      </w:r>
    </w:p>
    <w:p>
      <w:pPr>
        <w:numPr>
          <w:ilvl w:val="0"/>
          <w:numId w:val="6"/>
        </w:numPr>
        <w:spacing w:after="0" w:line="276" w:lineRule="auto"/>
        <w:jc w:val="both"/>
        <w:rPr>
          <w:rFonts w:cs="Arial"/>
        </w:rPr>
      </w:pPr>
      <w:r>
        <w:rPr>
          <w:rFonts w:cs="Arial"/>
        </w:rPr>
        <w:t>Délai de conservation sélectionné (7, 10 ou 15 ans), justifiez;</w:t>
      </w:r>
    </w:p>
    <w:p>
      <w:pPr>
        <w:numPr>
          <w:ilvl w:val="0"/>
          <w:numId w:val="6"/>
        </w:numPr>
        <w:spacing w:after="0" w:line="276" w:lineRule="auto"/>
        <w:jc w:val="both"/>
        <w:rPr>
          <w:rFonts w:cs="Arial"/>
        </w:rPr>
      </w:pPr>
      <w:r>
        <w:rPr>
          <w:rFonts w:cs="Arial"/>
        </w:rPr>
        <w:lastRenderedPageBreak/>
        <w:t>Lieu de préservation à long terme des données papiers et numériques;</w:t>
      </w:r>
    </w:p>
    <w:p>
      <w:pPr>
        <w:numPr>
          <w:ilvl w:val="0"/>
          <w:numId w:val="6"/>
        </w:numPr>
        <w:spacing w:after="0" w:line="276" w:lineRule="auto"/>
        <w:jc w:val="both"/>
        <w:rPr>
          <w:rFonts w:cs="Arial"/>
        </w:rPr>
      </w:pPr>
      <w:r>
        <w:rPr>
          <w:rFonts w:cs="Arial"/>
        </w:rPr>
        <w:t>Flux de données numériques (décrivez le parcours des données numériques en mentionnant les outils que vous utiliserez et les méthodes de protection de la confidentialité des participants);</w:t>
      </w:r>
    </w:p>
    <w:p>
      <w:pPr>
        <w:numPr>
          <w:ilvl w:val="0"/>
          <w:numId w:val="6"/>
        </w:numPr>
        <w:spacing w:after="0" w:line="276" w:lineRule="auto"/>
        <w:jc w:val="both"/>
        <w:rPr>
          <w:rFonts w:cs="Arial"/>
        </w:rPr>
      </w:pPr>
      <w:r>
        <w:rPr>
          <w:rFonts w:cs="Arial"/>
        </w:rPr>
        <w:t>Procédure d’accès aux données par les membres de l’équipe;</w:t>
      </w:r>
    </w:p>
    <w:p>
      <w:pPr>
        <w:numPr>
          <w:ilvl w:val="0"/>
          <w:numId w:val="6"/>
        </w:numPr>
        <w:spacing w:after="0" w:line="276" w:lineRule="auto"/>
        <w:jc w:val="both"/>
        <w:rPr>
          <w:rFonts w:cs="Arial"/>
        </w:rPr>
      </w:pPr>
      <w:r>
        <w:rPr>
          <w:rFonts w:cs="Arial"/>
        </w:rPr>
        <w:t>Personne responsable de l’octroi d’accès aux données.</w:t>
      </w:r>
    </w:p>
    <w:p>
      <w:pPr>
        <w:jc w:val="both"/>
        <w:rPr>
          <w:rFonts w:cs="Arial"/>
        </w:rPr>
      </w:pPr>
    </w:p>
    <w:p>
      <w:pPr>
        <w:jc w:val="both"/>
        <w:rPr>
          <w:rFonts w:cs="Arial"/>
          <w:u w:val="single"/>
        </w:rPr>
      </w:pPr>
      <w:r>
        <w:rPr>
          <w:rFonts w:cs="Arial"/>
          <w:u w:val="single"/>
        </w:rPr>
        <w:t>Partage et réutilisation</w:t>
      </w:r>
    </w:p>
    <w:p>
      <w:pPr>
        <w:numPr>
          <w:ilvl w:val="0"/>
          <w:numId w:val="6"/>
        </w:numPr>
        <w:spacing w:after="0" w:line="276" w:lineRule="auto"/>
        <w:jc w:val="both"/>
        <w:rPr>
          <w:rFonts w:cs="Arial"/>
        </w:rPr>
      </w:pPr>
      <w:r>
        <w:rPr>
          <w:rFonts w:cs="Arial"/>
        </w:rPr>
        <w:t>Plans de mise en banque;</w:t>
      </w:r>
    </w:p>
    <w:p>
      <w:pPr>
        <w:numPr>
          <w:ilvl w:val="0"/>
          <w:numId w:val="6"/>
        </w:numPr>
        <w:spacing w:after="0" w:line="276" w:lineRule="auto"/>
        <w:jc w:val="both"/>
        <w:rPr>
          <w:rFonts w:cs="Arial"/>
        </w:rPr>
      </w:pPr>
      <w:r>
        <w:rPr>
          <w:rFonts w:cs="Arial"/>
        </w:rPr>
        <w:t>Plans de partage;</w:t>
      </w:r>
    </w:p>
    <w:p>
      <w:pPr>
        <w:numPr>
          <w:ilvl w:val="0"/>
          <w:numId w:val="6"/>
        </w:numPr>
        <w:spacing w:after="0" w:line="276" w:lineRule="auto"/>
        <w:jc w:val="both"/>
        <w:rPr>
          <w:rFonts w:cs="Arial"/>
        </w:rPr>
      </w:pPr>
      <w:r>
        <w:rPr>
          <w:rFonts w:cs="Arial"/>
        </w:rPr>
        <w:t>Plans de dépôt (</w:t>
      </w:r>
      <w:proofErr w:type="spellStart"/>
      <w:r>
        <w:rPr>
          <w:rFonts w:cs="Arial"/>
        </w:rPr>
        <w:fldChar w:fldCharType="begin"/>
      </w:r>
      <w:r>
        <w:rPr>
          <w:rFonts w:cs="Arial"/>
        </w:rPr>
        <w:instrText xml:space="preserve"> HYPERLINK "https://borealisdata.ca/fr/" </w:instrText>
      </w:r>
      <w:r>
        <w:rPr>
          <w:rFonts w:cs="Arial"/>
        </w:rPr>
        <w:fldChar w:fldCharType="separate"/>
      </w:r>
      <w:r>
        <w:rPr>
          <w:rStyle w:val="Lienhypertexte"/>
          <w:rFonts w:cs="Arial"/>
        </w:rPr>
        <w:t>Borealis</w:t>
      </w:r>
      <w:proofErr w:type="spellEnd"/>
      <w:r>
        <w:rPr>
          <w:rFonts w:cs="Arial"/>
        </w:rPr>
        <w:fldChar w:fldCharType="end"/>
      </w:r>
      <w:r>
        <w:rPr>
          <w:rFonts w:cs="Arial"/>
        </w:rPr>
        <w:t xml:space="preserve">, </w:t>
      </w:r>
      <w:hyperlink r:id="rId17" w:history="1">
        <w:r>
          <w:rPr>
            <w:rStyle w:val="Lienhypertexte"/>
            <w:rFonts w:cs="Arial"/>
          </w:rPr>
          <w:t>Re3data</w:t>
        </w:r>
      </w:hyperlink>
      <w:r>
        <w:rPr>
          <w:rFonts w:cs="Arial"/>
        </w:rPr>
        <w:t xml:space="preserve">, </w:t>
      </w:r>
      <w:proofErr w:type="spellStart"/>
      <w:r>
        <w:rPr>
          <w:rFonts w:cs="Arial"/>
        </w:rPr>
        <w:t>etc</w:t>
      </w:r>
      <w:proofErr w:type="spellEnd"/>
      <w:r>
        <w:rPr>
          <w:rFonts w:cs="Arial"/>
        </w:rPr>
        <w:t>).</w:t>
      </w:r>
    </w:p>
    <w:p>
      <w:pPr>
        <w:jc w:val="both"/>
        <w:rPr>
          <w:rFonts w:cs="Arial"/>
        </w:rPr>
      </w:pPr>
    </w:p>
    <w:p>
      <w:pPr>
        <w:jc w:val="both"/>
        <w:rPr>
          <w:rFonts w:cs="Arial"/>
        </w:rPr>
      </w:pPr>
    </w:p>
    <w:p>
      <w:pPr>
        <w:jc w:val="both"/>
        <w:rPr>
          <w:rFonts w:cs="Arial"/>
          <w:b/>
          <w:bCs/>
        </w:rPr>
      </w:pPr>
      <w:r>
        <w:rPr>
          <w:rFonts w:cs="Arial"/>
          <w:b/>
          <w:bCs/>
        </w:rPr>
        <w:t>Voici quelques exemples pour vous aider :</w:t>
      </w:r>
    </w:p>
    <w:p>
      <w:pPr>
        <w:numPr>
          <w:ilvl w:val="0"/>
          <w:numId w:val="7"/>
        </w:numPr>
        <w:tabs>
          <w:tab w:val="num" w:pos="360"/>
        </w:tabs>
        <w:jc w:val="both"/>
        <w:rPr>
          <w:rFonts w:cs="Arial"/>
        </w:rPr>
      </w:pPr>
      <w:r>
        <w:rPr>
          <w:rFonts w:cs="Arial"/>
        </w:rPr>
        <w:t>Exemple 1</w:t>
      </w:r>
    </w:p>
    <w:p>
      <w:pPr>
        <w:jc w:val="both"/>
        <w:rPr>
          <w:rFonts w:cs="Arial"/>
        </w:rPr>
      </w:pPr>
      <w:r>
        <w:rPr>
          <w:rFonts w:cs="Arial"/>
        </w:rPr>
        <w:t xml:space="preserve">Les données collectées comprendront des données cliniques (âge, sexe, diagnostics, traitements), des réponses à des questionnaires (symptômes, qualité de vie, habitudes de vie) et des données physiologiques issues de capteurs (mesure de l’activité physique). Les données cliniques seront prélevées des dossiers médiaux directement dans notre CRF hébergé sur REDCap du </w:t>
      </w:r>
      <w:bookmarkStart w:id="1" w:name="_Hlk209687196"/>
      <w:r>
        <w:rPr>
          <w:rFonts w:cs="Arial"/>
        </w:rPr>
        <w:t>CHU Sainte-Justine</w:t>
      </w:r>
      <w:bookmarkEnd w:id="1"/>
      <w:r>
        <w:rPr>
          <w:rFonts w:cs="Arial"/>
        </w:rPr>
        <w:t>. Les questionnaires seront remplis par les participants sur papier puis transcrits dans REDCap par l’équipe de recherche. Les questionnaires papiers seront conservés dans une filière barrée dans le bureau de la coordinatrice de recherche. Les données issues des capteurs seront téléchargées dans le répertoire SharePoint SSSS partagé de l’équipe de recherche une fois l’activité complétée.</w:t>
      </w:r>
    </w:p>
    <w:p>
      <w:pPr>
        <w:jc w:val="both"/>
        <w:rPr>
          <w:rFonts w:cs="Arial"/>
        </w:rPr>
      </w:pPr>
      <w:r>
        <w:rPr>
          <w:rFonts w:cs="Arial"/>
        </w:rPr>
        <w:t>Les données seront désidentifiées dès leur collecte à l’aide d’identifiants de recherche uniques assignés à chaque participant. La grille de correspondance sera conservée dans le OneDrive SSSS de la chercheuse principale, dans un fichier protégé par mot de passe. Les sauvegardes automatiques des espaces REDCap, SharePoint et OneDrive sont assurées.</w:t>
      </w:r>
    </w:p>
    <w:p>
      <w:pPr>
        <w:jc w:val="both"/>
        <w:rPr>
          <w:rFonts w:cs="Arial"/>
        </w:rPr>
      </w:pPr>
      <w:r>
        <w:rPr>
          <w:rFonts w:cs="Arial"/>
        </w:rPr>
        <w:t>Lorsque nous serons prêts à procéder à l’analyse, toute la base de données REDCap sera téléchargée sous format CSV sur les serveurs sécurisés du CHU Sainte-Justine. L’analyse sera effectuée avec SPSS v29.  Les données seront conservées pendant 7 ans, conformément aux politiques institutionnelles, puis détruites de manière sécurisée.</w:t>
      </w:r>
    </w:p>
    <w:p>
      <w:pPr>
        <w:jc w:val="both"/>
        <w:rPr>
          <w:rFonts w:cs="Arial"/>
        </w:rPr>
      </w:pPr>
      <w:r>
        <w:rPr>
          <w:rFonts w:cs="Arial"/>
        </w:rPr>
        <w:t>L’accès aux données sera limité aux membres autorisés de l’équipe via des identifiants personnels, et géré par la chercheuse principale. Cette dernière sera aussi responsable de la qualité des données, de leur désidentification et de leur préservation à long terme.</w:t>
      </w:r>
    </w:p>
    <w:p>
      <w:pPr>
        <w:tabs>
          <w:tab w:val="num" w:pos="360"/>
        </w:tabs>
        <w:jc w:val="both"/>
        <w:rPr>
          <w:rFonts w:cs="Arial"/>
        </w:rPr>
      </w:pPr>
      <w:r>
        <w:rPr>
          <w:rFonts w:cs="Arial"/>
        </w:rPr>
        <w:t> </w:t>
      </w:r>
    </w:p>
    <w:p>
      <w:pPr>
        <w:pStyle w:val="Paragraphedeliste"/>
        <w:numPr>
          <w:ilvl w:val="0"/>
          <w:numId w:val="8"/>
        </w:numPr>
        <w:tabs>
          <w:tab w:val="num" w:pos="360"/>
        </w:tabs>
        <w:jc w:val="both"/>
        <w:rPr>
          <w:rFonts w:cs="Arial"/>
        </w:rPr>
      </w:pPr>
      <w:r>
        <w:rPr>
          <w:rFonts w:cs="Arial"/>
        </w:rPr>
        <w:t>Exemple 2</w:t>
      </w:r>
    </w:p>
    <w:p>
      <w:pPr>
        <w:jc w:val="both"/>
        <w:rPr>
          <w:rFonts w:cs="Arial"/>
        </w:rPr>
      </w:pPr>
      <w:r>
        <w:rPr>
          <w:rFonts w:cs="Arial"/>
        </w:rPr>
        <w:t xml:space="preserve">Dans le cadre de cette étude, des données démographiques (âge, sexe, niveau de formation, dominance de la main, expérience avec les deux outils à l’étude) seront recueillies via un questionnaire Microsoft Forms SSSS. Les performances des participants lors de tâches de simulation seront enregistrées en vidéo par Teams SSSS et évaluées par deux de nos collaborateurs à </w:t>
      </w:r>
      <w:r>
        <w:rPr>
          <w:rFonts w:cs="Arial"/>
        </w:rPr>
        <w:lastRenderedPageBreak/>
        <w:t xml:space="preserve">l’Université McGill en aveugle. Pour éviter l’envoi de vidéos identifiantes, nous demanderons à nos collaborateurs de se déplacer au bureau de Dr Landry au </w:t>
      </w:r>
      <w:r>
        <w:rPr>
          <w:rFonts w:cs="Arial"/>
        </w:rPr>
        <w:t>CHU Sainte-Justine</w:t>
      </w:r>
      <w:r>
        <w:rPr>
          <w:rFonts w:cs="Arial"/>
        </w:rPr>
        <w:t>.</w:t>
      </w:r>
    </w:p>
    <w:p>
      <w:pPr>
        <w:jc w:val="both"/>
        <w:rPr>
          <w:rFonts w:cs="Arial"/>
        </w:rPr>
      </w:pPr>
      <w:r>
        <w:rPr>
          <w:rFonts w:cs="Arial"/>
        </w:rPr>
        <w:t xml:space="preserve">Toutes les données seront désidentifiées à l’aide d’un identifiant de recherche unique, dont la grille de correspondance sera protégée par mot de passe et conservée séparément des données de recherche. Les vidéos seront floutées pour préserver l’anonymat et stockées sur un serveur institutionnel sécurisé (Microsoft OneDrive du chercheur principal), accessible uniquement à l’équipe de recherche. Une copie de sauvegarde sera effectuée chaque semaine et conservée sur un disque dur externe sécurisé, entreposé dans une armoire verrouillée au bureau du Dr Landry au CHU Sainte-Justine. </w:t>
      </w:r>
    </w:p>
    <w:p>
      <w:pPr>
        <w:jc w:val="both"/>
        <w:rPr>
          <w:rFonts w:cs="Arial"/>
        </w:rPr>
      </w:pPr>
      <w:r>
        <w:rPr>
          <w:rFonts w:cs="Arial"/>
        </w:rPr>
        <w:t>L’accès aux données non anonymisées sera strictement limité au Dr Landry et à l’infirmière de recherche. Les données seront conservées pendant dix ans, puis supprimées conformément aux protocoles institutionnels. Les participants ont consenti à ce que les vidéos floutées soient utilisées dans l’éventuelle création d’un tutoriel pour les outils utilisés. Aucune information ne sera utilisée à des fins d’évaluation formelle des compétences.</w:t>
      </w:r>
    </w:p>
    <w:sectPr>
      <w:footerReference w:type="default" r:id="rId18"/>
      <w:pgSz w:w="12240" w:h="15840"/>
      <w:pgMar w:top="1474" w:right="1247" w:bottom="1361" w:left="124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71A9AEF" w16cex:dateUtc="2025-07-23T14:48:00Z">
    <w16cex:extLst>
      <w16:ext w16:uri="{CE6994B0-6A32-4C9F-8C6B-6E91EDA988CE}">
        <cr:reactions xmlns:cr="http://schemas.microsoft.com/office/comments/2020/reactions">
          <cr:reaction reactionType="1">
            <cr:reactionInfo dateUtc="2025-07-24T15:13:41Z">
              <cr:user userId="S::mathilde.sainte-marie.hsj@ssss.gouv.qc.ca::0692835c-6833-44f6-a2d3-04a83e8d3749" userProvider="AD" userName="Mathilde Sainte-Marie (HSJ)"/>
            </cr:reactionInfo>
          </cr:reaction>
        </cr:reactions>
      </w16:ext>
    </w16cex:extLst>
  </w16cex:commentExtensible>
  <w16cex:commentExtensible w16cex:durableId="53DB37AD" w16cex:dateUtc="2025-07-22T18:28:00Z">
    <w16cex:extLst>
      <w16:ext w16:uri="{CE6994B0-6A32-4C9F-8C6B-6E91EDA988CE}">
        <cr:reactions xmlns:cr="http://schemas.microsoft.com/office/comments/2020/reactions">
          <cr:reaction reactionType="1">
            <cr:reactionInfo dateUtc="2025-07-24T16:49:51Z">
              <cr:user userId="S::mathilde.sainte-marie.hsj@ssss.gouv.qc.ca::0692835c-6833-44f6-a2d3-04a83e8d3749" userProvider="AD" userName="Mathilde Sainte-Marie (HSJ)"/>
            </cr:reactionInfo>
          </cr:reaction>
        </cr:reactions>
      </w16:ext>
    </w16cex:extLst>
  </w16cex:commentExtensible>
  <w16cex:commentExtensible w16cex:durableId="1EA296D1" w16cex:dateUtc="2025-07-23T14:33:00Z"/>
  <w16cex:commentExtensible w16cex:durableId="449C89ED" w16cex:dateUtc="2025-07-23T14:35:00Z"/>
  <w16cex:commentExtensible w16cex:durableId="08C49504" w16cex:dateUtc="2025-07-23T14:37:00Z">
    <w16cex:extLst>
      <w16:ext w16:uri="{CE6994B0-6A32-4C9F-8C6B-6E91EDA988CE}">
        <cr:reactions xmlns:cr="http://schemas.microsoft.com/office/comments/2020/reactions">
          <cr:reaction reactionType="1">
            <cr:reactionInfo dateUtc="2025-07-24T16:48:32Z">
              <cr:user userId="S::mathilde.sainte-marie.hsj@ssss.gouv.qc.ca::0692835c-6833-44f6-a2d3-04a83e8d3749" userProvider="AD" userName="Mathilde Sainte-Marie (HSJ)"/>
            </cr:reactionInfo>
          </cr:reaction>
        </cr:reactions>
      </w16:ext>
    </w16cex:extLst>
  </w16cex:commentExtensible>
  <w16cex:commentExtensible w16cex:durableId="40F462E5" w16cex:dateUtc="2025-07-23T14:39:00Z">
    <w16cex:extLst>
      <w16:ext w16:uri="{CE6994B0-6A32-4C9F-8C6B-6E91EDA988CE}">
        <cr:reactions xmlns:cr="http://schemas.microsoft.com/office/comments/2020/reactions">
          <cr:reaction reactionType="1">
            <cr:reactionInfo dateUtc="2025-07-24T16:48:20Z">
              <cr:user userId="S::mathilde.sainte-marie.hsj@ssss.gouv.qc.ca::0692835c-6833-44f6-a2d3-04a83e8d3749" userProvider="AD" userName="Mathilde Sainte-Marie (HSJ)"/>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05" w:type="dxa"/>
      <w:tblLayout w:type="fixed"/>
      <w:tblLook w:val="06A0" w:firstRow="1" w:lastRow="0" w:firstColumn="1" w:lastColumn="0" w:noHBand="1" w:noVBand="1"/>
    </w:tblPr>
    <w:tblGrid>
      <w:gridCol w:w="4111"/>
      <w:gridCol w:w="2159"/>
      <w:gridCol w:w="3135"/>
    </w:tblGrid>
    <w:tr>
      <w:trPr>
        <w:trHeight w:val="300"/>
      </w:trPr>
      <w:tc>
        <w:tcPr>
          <w:tcW w:w="4111" w:type="dxa"/>
        </w:tcPr>
        <w:p>
          <w:pPr>
            <w:pStyle w:val="En-tte"/>
            <w:ind w:left="-115"/>
            <w:rPr>
              <w:rFonts w:cs="Arial"/>
            </w:rPr>
          </w:pPr>
        </w:p>
      </w:tc>
      <w:tc>
        <w:tcPr>
          <w:tcW w:w="2159" w:type="dxa"/>
        </w:tcPr>
        <w:p>
          <w:pPr>
            <w:pStyle w:val="En-tte"/>
            <w:jc w:val="center"/>
            <w:rPr>
              <w:rFonts w:cs="Arial"/>
            </w:rPr>
          </w:pPr>
          <w:r>
            <w:rPr>
              <w:rFonts w:cs="Arial"/>
            </w:rPr>
            <w:t>Version 01</w:t>
          </w:r>
        </w:p>
      </w:tc>
      <w:tc>
        <w:tcPr>
          <w:tcW w:w="3135" w:type="dxa"/>
        </w:tcPr>
        <w:p>
          <w:pPr>
            <w:jc w:val="right"/>
            <w:rPr>
              <w:rFonts w:eastAsia="Calibri" w:cs="Arial"/>
              <w:color w:val="000000" w:themeColor="text1"/>
            </w:rPr>
          </w:pPr>
          <w:r>
            <w:rPr>
              <w:rFonts w:eastAsia="Calibri" w:cs="Arial"/>
              <w:color w:val="000000" w:themeColor="text1"/>
            </w:rPr>
            <w:t xml:space="preserve">Mise à jour : </w:t>
          </w:r>
          <w:r>
            <w:rPr>
              <w:rFonts w:eastAsia="Calibri" w:cs="Arial"/>
              <w:color w:val="000000" w:themeColor="text1"/>
            </w:rPr>
            <w:t>août 2025</w:t>
          </w:r>
        </w:p>
      </w:tc>
    </w:tr>
  </w:tbl>
  <w:p>
    <w:pPr>
      <w:pStyle w:val="Pieddepage"/>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xvC6KEl/+btxB2" int2:id="WkR7BfpP">
      <int2:state int2:value="Rejected" int2:type="spell"/>
    </int2:textHash>
    <int2:textHash int2:hashCode="AQNAdswX4lMVRS" int2:id="hwtoqB0W">
      <int2:state int2:value="Rejected" int2:type="spell"/>
    </int2:textHash>
    <int2:textHash int2:hashCode="m3lLzCPNiyQL8Q" int2:id="VICMcBEx">
      <int2:state int2:value="Rejected" int2:type="spell"/>
    </int2:textHash>
    <int2:textHash int2:hashCode="MsndkIWef9SMKK" int2:id="FID5VLuJ">
      <int2:state int2:value="Rejected" int2:type="AugLoop_Text_Critique"/>
    </int2:textHash>
    <int2:bookmark int2:bookmarkName="_Int_q2SYpQPF" int2:invalidationBookmarkName="" int2:hashCode="Pv1MD+GFE13SxY" int2:id="YQw94hp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D489A"/>
    <w:multiLevelType w:val="multilevel"/>
    <w:tmpl w:val="FEC2F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253250FC"/>
    <w:multiLevelType w:val="hybridMultilevel"/>
    <w:tmpl w:val="113EE9E6"/>
    <w:lvl w:ilvl="0" w:tplc="C9881054">
      <w:start w:val="1"/>
      <w:numFmt w:val="bullet"/>
      <w:lvlText w:val=""/>
      <w:lvlJc w:val="left"/>
      <w:pPr>
        <w:ind w:left="720" w:hanging="360"/>
      </w:pPr>
      <w:rPr>
        <w:rFonts w:ascii="Symbol" w:hAnsi="Symbol" w:hint="default"/>
      </w:rPr>
    </w:lvl>
    <w:lvl w:ilvl="1" w:tplc="EA52E092">
      <w:start w:val="1"/>
      <w:numFmt w:val="bullet"/>
      <w:lvlText w:val="o"/>
      <w:lvlJc w:val="left"/>
      <w:pPr>
        <w:ind w:left="1440" w:hanging="360"/>
      </w:pPr>
      <w:rPr>
        <w:rFonts w:ascii="Courier New" w:hAnsi="Courier New" w:hint="default"/>
      </w:rPr>
    </w:lvl>
    <w:lvl w:ilvl="2" w:tplc="F288F496">
      <w:start w:val="1"/>
      <w:numFmt w:val="bullet"/>
      <w:lvlText w:val=""/>
      <w:lvlJc w:val="left"/>
      <w:pPr>
        <w:ind w:left="2160" w:hanging="360"/>
      </w:pPr>
      <w:rPr>
        <w:rFonts w:ascii="Wingdings" w:hAnsi="Wingdings" w:hint="default"/>
      </w:rPr>
    </w:lvl>
    <w:lvl w:ilvl="3" w:tplc="AD26F75E">
      <w:start w:val="1"/>
      <w:numFmt w:val="bullet"/>
      <w:lvlText w:val=""/>
      <w:lvlJc w:val="left"/>
      <w:pPr>
        <w:ind w:left="2880" w:hanging="360"/>
      </w:pPr>
      <w:rPr>
        <w:rFonts w:ascii="Symbol" w:hAnsi="Symbol" w:hint="default"/>
      </w:rPr>
    </w:lvl>
    <w:lvl w:ilvl="4" w:tplc="8C0C1518">
      <w:start w:val="1"/>
      <w:numFmt w:val="bullet"/>
      <w:lvlText w:val="o"/>
      <w:lvlJc w:val="left"/>
      <w:pPr>
        <w:ind w:left="3600" w:hanging="360"/>
      </w:pPr>
      <w:rPr>
        <w:rFonts w:ascii="Courier New" w:hAnsi="Courier New" w:hint="default"/>
      </w:rPr>
    </w:lvl>
    <w:lvl w:ilvl="5" w:tplc="99527828">
      <w:start w:val="1"/>
      <w:numFmt w:val="bullet"/>
      <w:lvlText w:val=""/>
      <w:lvlJc w:val="left"/>
      <w:pPr>
        <w:ind w:left="4320" w:hanging="360"/>
      </w:pPr>
      <w:rPr>
        <w:rFonts w:ascii="Wingdings" w:hAnsi="Wingdings" w:hint="default"/>
      </w:rPr>
    </w:lvl>
    <w:lvl w:ilvl="6" w:tplc="1AB4D04A">
      <w:start w:val="1"/>
      <w:numFmt w:val="bullet"/>
      <w:lvlText w:val=""/>
      <w:lvlJc w:val="left"/>
      <w:pPr>
        <w:ind w:left="5040" w:hanging="360"/>
      </w:pPr>
      <w:rPr>
        <w:rFonts w:ascii="Symbol" w:hAnsi="Symbol" w:hint="default"/>
      </w:rPr>
    </w:lvl>
    <w:lvl w:ilvl="7" w:tplc="54F4A6F6">
      <w:start w:val="1"/>
      <w:numFmt w:val="bullet"/>
      <w:lvlText w:val="o"/>
      <w:lvlJc w:val="left"/>
      <w:pPr>
        <w:ind w:left="5760" w:hanging="360"/>
      </w:pPr>
      <w:rPr>
        <w:rFonts w:ascii="Courier New" w:hAnsi="Courier New" w:hint="default"/>
      </w:rPr>
    </w:lvl>
    <w:lvl w:ilvl="8" w:tplc="9D3EF2AE">
      <w:start w:val="1"/>
      <w:numFmt w:val="bullet"/>
      <w:lvlText w:val=""/>
      <w:lvlJc w:val="left"/>
      <w:pPr>
        <w:ind w:left="6480" w:hanging="360"/>
      </w:pPr>
      <w:rPr>
        <w:rFonts w:ascii="Wingdings" w:hAnsi="Wingdings" w:hint="default"/>
      </w:rPr>
    </w:lvl>
  </w:abstractNum>
  <w:abstractNum w:abstractNumId="2" w15:restartNumberingAfterBreak="0">
    <w:nsid w:val="43899A5E"/>
    <w:multiLevelType w:val="hybridMultilevel"/>
    <w:tmpl w:val="A33E27AE"/>
    <w:lvl w:ilvl="0" w:tplc="C0249AF2">
      <w:start w:val="1"/>
      <w:numFmt w:val="bullet"/>
      <w:lvlText w:val="-"/>
      <w:lvlJc w:val="left"/>
      <w:pPr>
        <w:ind w:left="720" w:hanging="360"/>
      </w:pPr>
      <w:rPr>
        <w:rFonts w:ascii="Aptos" w:hAnsi="Aptos" w:hint="default"/>
      </w:rPr>
    </w:lvl>
    <w:lvl w:ilvl="1" w:tplc="9F3EB796">
      <w:start w:val="1"/>
      <w:numFmt w:val="bullet"/>
      <w:lvlText w:val="o"/>
      <w:lvlJc w:val="left"/>
      <w:pPr>
        <w:ind w:left="1440" w:hanging="360"/>
      </w:pPr>
      <w:rPr>
        <w:rFonts w:ascii="Courier New" w:hAnsi="Courier New" w:hint="default"/>
      </w:rPr>
    </w:lvl>
    <w:lvl w:ilvl="2" w:tplc="9738A4E0">
      <w:start w:val="1"/>
      <w:numFmt w:val="bullet"/>
      <w:lvlText w:val=""/>
      <w:lvlJc w:val="left"/>
      <w:pPr>
        <w:ind w:left="2160" w:hanging="360"/>
      </w:pPr>
      <w:rPr>
        <w:rFonts w:ascii="Wingdings" w:hAnsi="Wingdings" w:hint="default"/>
      </w:rPr>
    </w:lvl>
    <w:lvl w:ilvl="3" w:tplc="93D011C4">
      <w:start w:val="1"/>
      <w:numFmt w:val="bullet"/>
      <w:lvlText w:val=""/>
      <w:lvlJc w:val="left"/>
      <w:pPr>
        <w:ind w:left="2880" w:hanging="360"/>
      </w:pPr>
      <w:rPr>
        <w:rFonts w:ascii="Symbol" w:hAnsi="Symbol" w:hint="default"/>
      </w:rPr>
    </w:lvl>
    <w:lvl w:ilvl="4" w:tplc="141839EE">
      <w:start w:val="1"/>
      <w:numFmt w:val="bullet"/>
      <w:lvlText w:val="o"/>
      <w:lvlJc w:val="left"/>
      <w:pPr>
        <w:ind w:left="3600" w:hanging="360"/>
      </w:pPr>
      <w:rPr>
        <w:rFonts w:ascii="Courier New" w:hAnsi="Courier New" w:hint="default"/>
      </w:rPr>
    </w:lvl>
    <w:lvl w:ilvl="5" w:tplc="ABA8EE28">
      <w:start w:val="1"/>
      <w:numFmt w:val="bullet"/>
      <w:lvlText w:val=""/>
      <w:lvlJc w:val="left"/>
      <w:pPr>
        <w:ind w:left="4320" w:hanging="360"/>
      </w:pPr>
      <w:rPr>
        <w:rFonts w:ascii="Wingdings" w:hAnsi="Wingdings" w:hint="default"/>
      </w:rPr>
    </w:lvl>
    <w:lvl w:ilvl="6" w:tplc="361AE0E8">
      <w:start w:val="1"/>
      <w:numFmt w:val="bullet"/>
      <w:lvlText w:val=""/>
      <w:lvlJc w:val="left"/>
      <w:pPr>
        <w:ind w:left="5040" w:hanging="360"/>
      </w:pPr>
      <w:rPr>
        <w:rFonts w:ascii="Symbol" w:hAnsi="Symbol" w:hint="default"/>
      </w:rPr>
    </w:lvl>
    <w:lvl w:ilvl="7" w:tplc="E15870BC">
      <w:start w:val="1"/>
      <w:numFmt w:val="bullet"/>
      <w:lvlText w:val="o"/>
      <w:lvlJc w:val="left"/>
      <w:pPr>
        <w:ind w:left="5760" w:hanging="360"/>
      </w:pPr>
      <w:rPr>
        <w:rFonts w:ascii="Courier New" w:hAnsi="Courier New" w:hint="default"/>
      </w:rPr>
    </w:lvl>
    <w:lvl w:ilvl="8" w:tplc="59265BC0">
      <w:start w:val="1"/>
      <w:numFmt w:val="bullet"/>
      <w:lvlText w:val=""/>
      <w:lvlJc w:val="left"/>
      <w:pPr>
        <w:ind w:left="6480" w:hanging="360"/>
      </w:pPr>
      <w:rPr>
        <w:rFonts w:ascii="Wingdings" w:hAnsi="Wingdings" w:hint="default"/>
      </w:rPr>
    </w:lvl>
  </w:abstractNum>
  <w:abstractNum w:abstractNumId="3" w15:restartNumberingAfterBreak="0">
    <w:nsid w:val="44A57559"/>
    <w:multiLevelType w:val="hybridMultilevel"/>
    <w:tmpl w:val="A8903F3C"/>
    <w:lvl w:ilvl="0" w:tplc="57B0889C">
      <w:start w:val="1"/>
      <w:numFmt w:val="bullet"/>
      <w:lvlText w:val=""/>
      <w:lvlJc w:val="left"/>
      <w:pPr>
        <w:ind w:left="720" w:hanging="360"/>
      </w:pPr>
      <w:rPr>
        <w:rFonts w:ascii="Symbol" w:hAnsi="Symbol" w:hint="default"/>
      </w:rPr>
    </w:lvl>
    <w:lvl w:ilvl="1" w:tplc="6F10179A">
      <w:start w:val="1"/>
      <w:numFmt w:val="bullet"/>
      <w:lvlText w:val="o"/>
      <w:lvlJc w:val="left"/>
      <w:pPr>
        <w:ind w:left="1440" w:hanging="360"/>
      </w:pPr>
      <w:rPr>
        <w:rFonts w:ascii="Courier New" w:hAnsi="Courier New" w:hint="default"/>
      </w:rPr>
    </w:lvl>
    <w:lvl w:ilvl="2" w:tplc="B5AE6100">
      <w:start w:val="1"/>
      <w:numFmt w:val="bullet"/>
      <w:lvlText w:val=""/>
      <w:lvlJc w:val="left"/>
      <w:pPr>
        <w:ind w:left="2160" w:hanging="360"/>
      </w:pPr>
      <w:rPr>
        <w:rFonts w:ascii="Wingdings" w:hAnsi="Wingdings" w:hint="default"/>
      </w:rPr>
    </w:lvl>
    <w:lvl w:ilvl="3" w:tplc="C1402A78">
      <w:start w:val="1"/>
      <w:numFmt w:val="bullet"/>
      <w:lvlText w:val=""/>
      <w:lvlJc w:val="left"/>
      <w:pPr>
        <w:ind w:left="2880" w:hanging="360"/>
      </w:pPr>
      <w:rPr>
        <w:rFonts w:ascii="Symbol" w:hAnsi="Symbol" w:hint="default"/>
      </w:rPr>
    </w:lvl>
    <w:lvl w:ilvl="4" w:tplc="B03EDAA8">
      <w:start w:val="1"/>
      <w:numFmt w:val="bullet"/>
      <w:lvlText w:val="o"/>
      <w:lvlJc w:val="left"/>
      <w:pPr>
        <w:ind w:left="3600" w:hanging="360"/>
      </w:pPr>
      <w:rPr>
        <w:rFonts w:ascii="Courier New" w:hAnsi="Courier New" w:hint="default"/>
      </w:rPr>
    </w:lvl>
    <w:lvl w:ilvl="5" w:tplc="F6164788">
      <w:start w:val="1"/>
      <w:numFmt w:val="bullet"/>
      <w:lvlText w:val=""/>
      <w:lvlJc w:val="left"/>
      <w:pPr>
        <w:ind w:left="4320" w:hanging="360"/>
      </w:pPr>
      <w:rPr>
        <w:rFonts w:ascii="Wingdings" w:hAnsi="Wingdings" w:hint="default"/>
      </w:rPr>
    </w:lvl>
    <w:lvl w:ilvl="6" w:tplc="AA2E5578">
      <w:start w:val="1"/>
      <w:numFmt w:val="bullet"/>
      <w:lvlText w:val=""/>
      <w:lvlJc w:val="left"/>
      <w:pPr>
        <w:ind w:left="5040" w:hanging="360"/>
      </w:pPr>
      <w:rPr>
        <w:rFonts w:ascii="Symbol" w:hAnsi="Symbol" w:hint="default"/>
      </w:rPr>
    </w:lvl>
    <w:lvl w:ilvl="7" w:tplc="5540E580">
      <w:start w:val="1"/>
      <w:numFmt w:val="bullet"/>
      <w:lvlText w:val="o"/>
      <w:lvlJc w:val="left"/>
      <w:pPr>
        <w:ind w:left="5760" w:hanging="360"/>
      </w:pPr>
      <w:rPr>
        <w:rFonts w:ascii="Courier New" w:hAnsi="Courier New" w:hint="default"/>
      </w:rPr>
    </w:lvl>
    <w:lvl w:ilvl="8" w:tplc="11BCC0D6">
      <w:start w:val="1"/>
      <w:numFmt w:val="bullet"/>
      <w:lvlText w:val=""/>
      <w:lvlJc w:val="left"/>
      <w:pPr>
        <w:ind w:left="6480" w:hanging="360"/>
      </w:pPr>
      <w:rPr>
        <w:rFonts w:ascii="Wingdings" w:hAnsi="Wingdings" w:hint="default"/>
      </w:rPr>
    </w:lvl>
  </w:abstractNum>
  <w:abstractNum w:abstractNumId="4" w15:restartNumberingAfterBreak="0">
    <w:nsid w:val="4ADF00C2"/>
    <w:multiLevelType w:val="hybridMultilevel"/>
    <w:tmpl w:val="9FF62D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B1A6275"/>
    <w:multiLevelType w:val="multilevel"/>
    <w:tmpl w:val="D58CE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15:restartNumberingAfterBreak="0">
    <w:nsid w:val="61F25A0E"/>
    <w:multiLevelType w:val="multilevel"/>
    <w:tmpl w:val="D58CEBB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o"/>
      <w:lvlJc w:val="left"/>
      <w:pPr>
        <w:tabs>
          <w:tab w:val="num" w:pos="2508"/>
        </w:tabs>
        <w:ind w:left="2508" w:hanging="360"/>
      </w:pPr>
      <w:rPr>
        <w:rFonts w:ascii="Courier New" w:hAnsi="Courier New" w:cs="Times New Roman" w:hint="default"/>
        <w:sz w:val="20"/>
      </w:rPr>
    </w:lvl>
    <w:lvl w:ilvl="3">
      <w:start w:val="1"/>
      <w:numFmt w:val="bullet"/>
      <w:lvlText w:val="o"/>
      <w:lvlJc w:val="left"/>
      <w:pPr>
        <w:tabs>
          <w:tab w:val="num" w:pos="3228"/>
        </w:tabs>
        <w:ind w:left="3228" w:hanging="360"/>
      </w:pPr>
      <w:rPr>
        <w:rFonts w:ascii="Courier New" w:hAnsi="Courier New" w:cs="Times New Roman" w:hint="default"/>
        <w:sz w:val="20"/>
      </w:rPr>
    </w:lvl>
    <w:lvl w:ilvl="4">
      <w:start w:val="1"/>
      <w:numFmt w:val="bullet"/>
      <w:lvlText w:val="o"/>
      <w:lvlJc w:val="left"/>
      <w:pPr>
        <w:tabs>
          <w:tab w:val="num" w:pos="3948"/>
        </w:tabs>
        <w:ind w:left="3948" w:hanging="360"/>
      </w:pPr>
      <w:rPr>
        <w:rFonts w:ascii="Courier New" w:hAnsi="Courier New" w:cs="Times New Roman" w:hint="default"/>
        <w:sz w:val="20"/>
      </w:rPr>
    </w:lvl>
    <w:lvl w:ilvl="5">
      <w:start w:val="1"/>
      <w:numFmt w:val="bullet"/>
      <w:lvlText w:val="o"/>
      <w:lvlJc w:val="left"/>
      <w:pPr>
        <w:tabs>
          <w:tab w:val="num" w:pos="4668"/>
        </w:tabs>
        <w:ind w:left="4668" w:hanging="360"/>
      </w:pPr>
      <w:rPr>
        <w:rFonts w:ascii="Courier New" w:hAnsi="Courier New" w:cs="Times New Roman" w:hint="default"/>
        <w:sz w:val="20"/>
      </w:rPr>
    </w:lvl>
    <w:lvl w:ilvl="6">
      <w:start w:val="1"/>
      <w:numFmt w:val="bullet"/>
      <w:lvlText w:val="o"/>
      <w:lvlJc w:val="left"/>
      <w:pPr>
        <w:tabs>
          <w:tab w:val="num" w:pos="5388"/>
        </w:tabs>
        <w:ind w:left="5388" w:hanging="360"/>
      </w:pPr>
      <w:rPr>
        <w:rFonts w:ascii="Courier New" w:hAnsi="Courier New" w:cs="Times New Roman" w:hint="default"/>
        <w:sz w:val="20"/>
      </w:rPr>
    </w:lvl>
    <w:lvl w:ilvl="7">
      <w:start w:val="1"/>
      <w:numFmt w:val="bullet"/>
      <w:lvlText w:val="o"/>
      <w:lvlJc w:val="left"/>
      <w:pPr>
        <w:tabs>
          <w:tab w:val="num" w:pos="6108"/>
        </w:tabs>
        <w:ind w:left="6108" w:hanging="360"/>
      </w:pPr>
      <w:rPr>
        <w:rFonts w:ascii="Courier New" w:hAnsi="Courier New" w:cs="Times New Roman" w:hint="default"/>
        <w:sz w:val="20"/>
      </w:rPr>
    </w:lvl>
    <w:lvl w:ilvl="8">
      <w:start w:val="1"/>
      <w:numFmt w:val="bullet"/>
      <w:lvlText w:val="o"/>
      <w:lvlJc w:val="left"/>
      <w:pPr>
        <w:tabs>
          <w:tab w:val="num" w:pos="6828"/>
        </w:tabs>
        <w:ind w:left="6828" w:hanging="360"/>
      </w:pPr>
      <w:rPr>
        <w:rFonts w:ascii="Courier New" w:hAnsi="Courier New" w:cs="Times New Roman" w:hint="default"/>
        <w:sz w:val="20"/>
      </w:rPr>
    </w:lvl>
  </w:abstractNum>
  <w:abstractNum w:abstractNumId="7" w15:restartNumberingAfterBreak="0">
    <w:nsid w:val="7E11FA36"/>
    <w:multiLevelType w:val="hybridMultilevel"/>
    <w:tmpl w:val="6EFE7656"/>
    <w:lvl w:ilvl="0" w:tplc="5750018A">
      <w:start w:val="1"/>
      <w:numFmt w:val="bullet"/>
      <w:lvlText w:val=""/>
      <w:lvlJc w:val="left"/>
      <w:pPr>
        <w:ind w:left="720" w:hanging="360"/>
      </w:pPr>
      <w:rPr>
        <w:rFonts w:ascii="Symbol" w:hAnsi="Symbol" w:hint="default"/>
      </w:rPr>
    </w:lvl>
    <w:lvl w:ilvl="1" w:tplc="80F49FAC">
      <w:start w:val="1"/>
      <w:numFmt w:val="bullet"/>
      <w:lvlText w:val="o"/>
      <w:lvlJc w:val="left"/>
      <w:pPr>
        <w:ind w:left="1440" w:hanging="360"/>
      </w:pPr>
      <w:rPr>
        <w:rFonts w:ascii="Courier New" w:hAnsi="Courier New" w:hint="default"/>
      </w:rPr>
    </w:lvl>
    <w:lvl w:ilvl="2" w:tplc="F10615E4">
      <w:start w:val="1"/>
      <w:numFmt w:val="bullet"/>
      <w:lvlText w:val=""/>
      <w:lvlJc w:val="left"/>
      <w:pPr>
        <w:ind w:left="2160" w:hanging="360"/>
      </w:pPr>
      <w:rPr>
        <w:rFonts w:ascii="Wingdings" w:hAnsi="Wingdings" w:hint="default"/>
      </w:rPr>
    </w:lvl>
    <w:lvl w:ilvl="3" w:tplc="4A843B9A">
      <w:start w:val="1"/>
      <w:numFmt w:val="bullet"/>
      <w:lvlText w:val=""/>
      <w:lvlJc w:val="left"/>
      <w:pPr>
        <w:ind w:left="2880" w:hanging="360"/>
      </w:pPr>
      <w:rPr>
        <w:rFonts w:ascii="Symbol" w:hAnsi="Symbol" w:hint="default"/>
      </w:rPr>
    </w:lvl>
    <w:lvl w:ilvl="4" w:tplc="F8CAE728">
      <w:start w:val="1"/>
      <w:numFmt w:val="bullet"/>
      <w:lvlText w:val="o"/>
      <w:lvlJc w:val="left"/>
      <w:pPr>
        <w:ind w:left="3600" w:hanging="360"/>
      </w:pPr>
      <w:rPr>
        <w:rFonts w:ascii="Courier New" w:hAnsi="Courier New" w:hint="default"/>
      </w:rPr>
    </w:lvl>
    <w:lvl w:ilvl="5" w:tplc="9934FD08">
      <w:start w:val="1"/>
      <w:numFmt w:val="bullet"/>
      <w:lvlText w:val=""/>
      <w:lvlJc w:val="left"/>
      <w:pPr>
        <w:ind w:left="4320" w:hanging="360"/>
      </w:pPr>
      <w:rPr>
        <w:rFonts w:ascii="Wingdings" w:hAnsi="Wingdings" w:hint="default"/>
      </w:rPr>
    </w:lvl>
    <w:lvl w:ilvl="6" w:tplc="A504146E">
      <w:start w:val="1"/>
      <w:numFmt w:val="bullet"/>
      <w:lvlText w:val=""/>
      <w:lvlJc w:val="left"/>
      <w:pPr>
        <w:ind w:left="5040" w:hanging="360"/>
      </w:pPr>
      <w:rPr>
        <w:rFonts w:ascii="Symbol" w:hAnsi="Symbol" w:hint="default"/>
      </w:rPr>
    </w:lvl>
    <w:lvl w:ilvl="7" w:tplc="01AEAB5A">
      <w:start w:val="1"/>
      <w:numFmt w:val="bullet"/>
      <w:lvlText w:val="o"/>
      <w:lvlJc w:val="left"/>
      <w:pPr>
        <w:ind w:left="5760" w:hanging="360"/>
      </w:pPr>
      <w:rPr>
        <w:rFonts w:ascii="Courier New" w:hAnsi="Courier New" w:hint="default"/>
      </w:rPr>
    </w:lvl>
    <w:lvl w:ilvl="8" w:tplc="4A32B3FC">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3"/>
  </w:num>
  <w:num w:numId="5">
    <w:abstractNumId w:val="0"/>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8BA5F9B-8D06-4F28-9AC0-02AB23A8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rPr>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Lienhypertexte">
    <w:name w:val="Hyperlink"/>
    <w:basedOn w:val="Policepardfaut"/>
    <w:uiPriority w:val="99"/>
    <w:unhideWhenUsed/>
    <w:rPr>
      <w:color w:val="0563C1" w:themeColor="hyperlink"/>
      <w:u w:val="single"/>
    </w:rPr>
  </w:style>
  <w:style w:type="paragraph" w:styleId="Paragraphedeliste">
    <w:name w:val="List Paragraph"/>
    <w:basedOn w:val="Normal"/>
    <w:uiPriority w:val="34"/>
    <w:qFormat/>
    <w:pPr>
      <w:ind w:left="720"/>
      <w:contextualSpacing/>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table" w:styleId="Grilledutableau">
    <w:name w:val="Table Grid"/>
    <w:basedOn w:val="Tableau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suivivisit">
    <w:name w:val="FollowedHyperlink"/>
    <w:basedOn w:val="Policepardfaut"/>
    <w:uiPriority w:val="99"/>
    <w:semiHidden/>
    <w:unhideWhenUsed/>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pPr>
      <w:spacing w:after="0" w:line="240" w:lineRule="auto"/>
    </w:pPr>
  </w:style>
  <w:style w:type="paragraph" w:customStyle="1" w:styleId="TitreCRACHUSJ">
    <w:name w:val="Titre CRACHUSJ"/>
    <w:basedOn w:val="Titre"/>
    <w:link w:val="TitreCRACHUSJCar"/>
    <w:autoRedefine/>
    <w:qFormat/>
    <w:pPr>
      <w:jc w:val="center"/>
    </w:pPr>
    <w:rPr>
      <w:rFonts w:ascii="Arial" w:hAnsi="Arial"/>
      <w:b/>
      <w:noProof/>
      <w:sz w:val="32"/>
    </w:rPr>
  </w:style>
  <w:style w:type="paragraph" w:customStyle="1" w:styleId="Titre1CRACHUSJ">
    <w:name w:val="Titre 1 CRACHUSJ"/>
    <w:basedOn w:val="Titre1"/>
    <w:link w:val="Titre1CRACHUSJCar"/>
    <w:autoRedefine/>
    <w:qFormat/>
    <w:rPr>
      <w:rFonts w:ascii="Arial" w:hAnsi="Arial" w:cs="Arial"/>
      <w:b/>
      <w:bCs/>
      <w:color w:val="auto"/>
      <w:sz w:val="28"/>
      <w:szCs w:val="26"/>
    </w:r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character" w:customStyle="1" w:styleId="TitreCRACHUSJCar">
    <w:name w:val="Titre CRACHUSJ Car"/>
    <w:basedOn w:val="Titre1Car"/>
    <w:link w:val="TitreCRACHUSJ"/>
    <w:rPr>
      <w:rFonts w:ascii="Arial" w:eastAsiaTheme="majorEastAsia" w:hAnsi="Arial" w:cstheme="majorBidi"/>
      <w:b/>
      <w:noProof/>
      <w:color w:val="2F5496" w:themeColor="accent1" w:themeShade="BF"/>
      <w:spacing w:val="-10"/>
      <w:kern w:val="28"/>
      <w:sz w:val="32"/>
      <w:szCs w:val="56"/>
    </w:rPr>
  </w:style>
  <w:style w:type="paragraph" w:customStyle="1" w:styleId="Titre2CRACHUSJ">
    <w:name w:val="Titre 2 CRACHUSJ"/>
    <w:basedOn w:val="Titre2"/>
    <w:link w:val="Titre2CRACHUSJCar"/>
    <w:autoRedefine/>
    <w:qFormat/>
    <w:rPr>
      <w:rFonts w:ascii="Arial" w:hAnsi="Arial" w:cs="Arial"/>
      <w:b/>
      <w:bCs/>
      <w:color w:val="auto"/>
      <w:szCs w:val="24"/>
    </w:rPr>
  </w:style>
  <w:style w:type="character" w:customStyle="1" w:styleId="Titre1CRACHUSJCar">
    <w:name w:val="Titre 1 CRACHUSJ Car"/>
    <w:basedOn w:val="Titre1Car"/>
    <w:link w:val="Titre1CRACHUSJ"/>
    <w:rPr>
      <w:rFonts w:ascii="Arial" w:eastAsiaTheme="majorEastAsia" w:hAnsi="Arial" w:cs="Arial"/>
      <w:b/>
      <w:bCs/>
      <w:color w:val="2F5496" w:themeColor="accent1" w:themeShade="BF"/>
      <w:sz w:val="28"/>
      <w:szCs w:val="26"/>
    </w:rPr>
  </w:style>
  <w:style w:type="paragraph" w:styleId="Titre">
    <w:name w:val="Title"/>
    <w:basedOn w:val="Normal"/>
    <w:next w:val="Normal"/>
    <w:link w:val="TitreC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paragraph" w:customStyle="1" w:styleId="ParagbasCRACHUSJ">
    <w:name w:val="Parag bas CRACHUSJ"/>
    <w:basedOn w:val="Normal"/>
    <w:link w:val="ParagbasCRACHUSJCar"/>
    <w:qFormat/>
    <w:pPr>
      <w:jc w:val="both"/>
    </w:pPr>
    <w:rPr>
      <w:rFonts w:eastAsia="Calibri" w:cs="Arial"/>
      <w:color w:val="000000" w:themeColor="text1"/>
      <w:sz w:val="26"/>
      <w:szCs w:val="26"/>
    </w:rPr>
  </w:style>
  <w:style w:type="character" w:customStyle="1" w:styleId="Titre2CRACHUSJCar">
    <w:name w:val="Titre 2 CRACHUSJ Car"/>
    <w:basedOn w:val="Policepardfaut"/>
    <w:link w:val="Titre2CRACHUSJ"/>
    <w:rPr>
      <w:rFonts w:ascii="Arial" w:eastAsiaTheme="majorEastAsia" w:hAnsi="Arial" w:cs="Arial"/>
      <w:b/>
      <w:bCs/>
      <w:sz w:val="26"/>
      <w:szCs w:val="24"/>
    </w:rPr>
  </w:style>
  <w:style w:type="character" w:customStyle="1" w:styleId="Titre2Car">
    <w:name w:val="Titre 2 Car"/>
    <w:basedOn w:val="Policepardfaut"/>
    <w:link w:val="Titre2"/>
    <w:uiPriority w:val="9"/>
    <w:semiHidden/>
    <w:rPr>
      <w:rFonts w:asciiTheme="majorHAnsi" w:eastAsiaTheme="majorEastAsia" w:hAnsiTheme="majorHAnsi" w:cstheme="majorBidi"/>
      <w:color w:val="2F5496" w:themeColor="accent1" w:themeShade="BF"/>
      <w:sz w:val="26"/>
      <w:szCs w:val="26"/>
    </w:rPr>
  </w:style>
  <w:style w:type="character" w:customStyle="1" w:styleId="ParagbasCRACHUSJCar">
    <w:name w:val="Parag bas CRACHUSJ Car"/>
    <w:basedOn w:val="Policepardfaut"/>
    <w:link w:val="ParagbasCRACHUSJ"/>
    <w:rPr>
      <w:rFonts w:ascii="Arial" w:eastAsia="Calibri" w:hAnsi="Arial" w:cs="Arial"/>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8463">
      <w:bodyDiv w:val="1"/>
      <w:marLeft w:val="0"/>
      <w:marRight w:val="0"/>
      <w:marTop w:val="0"/>
      <w:marBottom w:val="0"/>
      <w:divBdr>
        <w:top w:val="none" w:sz="0" w:space="0" w:color="auto"/>
        <w:left w:val="none" w:sz="0" w:space="0" w:color="auto"/>
        <w:bottom w:val="none" w:sz="0" w:space="0" w:color="auto"/>
        <w:right w:val="none" w:sz="0" w:space="0" w:color="auto"/>
      </w:divBdr>
    </w:div>
    <w:div w:id="764882835">
      <w:bodyDiv w:val="1"/>
      <w:marLeft w:val="0"/>
      <w:marRight w:val="0"/>
      <w:marTop w:val="0"/>
      <w:marBottom w:val="0"/>
      <w:divBdr>
        <w:top w:val="none" w:sz="0" w:space="0" w:color="auto"/>
        <w:left w:val="none" w:sz="0" w:space="0" w:color="auto"/>
        <w:bottom w:val="none" w:sz="0" w:space="0" w:color="auto"/>
        <w:right w:val="none" w:sz="0" w:space="0" w:color="auto"/>
      </w:divBdr>
    </w:div>
    <w:div w:id="18740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seignement.chusj.org/fr/bibliotheques/les-Ressources/Gestion-de-donnees-de-recherche/Collecte-stockage-partag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seignement.chusj.org/fr/bibliotheques/les-Ressources/Gestion-de-donnees-de-recherche/PGD" TargetMode="External"/><Relationship Id="rId17" Type="http://schemas.openxmlformats.org/officeDocument/2006/relationships/hyperlink" Target="https://www.re3data.org/" TargetMode="External"/><Relationship Id="rId2" Type="http://schemas.openxmlformats.org/officeDocument/2006/relationships/customXml" Target="../customXml/item2.xml"/><Relationship Id="rId16" Type="http://schemas.openxmlformats.org/officeDocument/2006/relationships/hyperlink" Target="https://enseignement.chusj.org/fr/bibliotheques/les-Ressources/Gestion-de-donnees-de-recherche/Lexique" TargetMode="External"/><Relationship Id="rId20" Type="http://schemas.openxmlformats.org/officeDocument/2006/relationships/theme" Target="theme/theme1.xm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soutien.gdr.hsj@ssss.gouv.qc.c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seignement.chusj.org/fr/bibliotheques/les-Ressources/Gestion-de-donnees-de-recherche/Forma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DC034A3AA52C4E9843432B5F2BD277" ma:contentTypeVersion="13" ma:contentTypeDescription="Crée un document." ma:contentTypeScope="" ma:versionID="c7147aab622fd6a45b27235603fbf0e1">
  <xsd:schema xmlns:xsd="http://www.w3.org/2001/XMLSchema" xmlns:xs="http://www.w3.org/2001/XMLSchema" xmlns:p="http://schemas.microsoft.com/office/2006/metadata/properties" xmlns:ns2="48433b6d-b646-4d8a-be06-8b965e3d58d3" xmlns:ns3="000a0363-a861-441e-9eef-a12cf8c0c028" targetNamespace="http://schemas.microsoft.com/office/2006/metadata/properties" ma:root="true" ma:fieldsID="9442998a29d966ed75a39b4f4193da68" ns2:_="" ns3:_="">
    <xsd:import namespace="48433b6d-b646-4d8a-be06-8b965e3d58d3"/>
    <xsd:import namespace="000a0363-a861-441e-9eef-a12cf8c0c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33b6d-b646-4d8a-be06-8b965e3d5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0a0363-a861-441e-9eef-a12cf8c0c02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433b6d-b646-4d8a-be06-8b965e3d58d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4B7BB-E67B-456A-B8BD-6CA5BF4653BC}">
  <ds:schemaRefs>
    <ds:schemaRef ds:uri="http://schemas.microsoft.com/sharepoint/v3/contenttype/forms"/>
  </ds:schemaRefs>
</ds:datastoreItem>
</file>

<file path=customXml/itemProps2.xml><?xml version="1.0" encoding="utf-8"?>
<ds:datastoreItem xmlns:ds="http://schemas.openxmlformats.org/officeDocument/2006/customXml" ds:itemID="{C733D66A-8646-4E85-A1CF-0002EB7BA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33b6d-b646-4d8a-be06-8b965e3d58d3"/>
    <ds:schemaRef ds:uri="000a0363-a861-441e-9eef-a12cf8c0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0103E-086F-4FC0-810B-8ED2979E9A8F}">
  <ds:schemaRefs>
    <ds:schemaRef ds:uri="000a0363-a861-441e-9eef-a12cf8c0c028"/>
    <ds:schemaRef ds:uri="http://www.w3.org/XML/1998/namespace"/>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48433b6d-b646-4d8a-be06-8b965e3d58d3"/>
    <ds:schemaRef ds:uri="http://schemas.microsoft.com/office/2006/metadata/properties"/>
  </ds:schemaRefs>
</ds:datastoreItem>
</file>

<file path=customXml/itemProps4.xml><?xml version="1.0" encoding="utf-8"?>
<ds:datastoreItem xmlns:ds="http://schemas.openxmlformats.org/officeDocument/2006/customXml" ds:itemID="{4D22EA76-2629-4D0F-83FA-5EAAD9191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1070</Words>
  <Characters>5887</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Goulet-Cloutier</dc:creator>
  <cp:keywords/>
  <dc:description/>
  <cp:lastModifiedBy>Mathilde Sainte-Marie</cp:lastModifiedBy>
  <cp:revision>5</cp:revision>
  <cp:lastPrinted>2025-08-13T21:52:00Z</cp:lastPrinted>
  <dcterms:created xsi:type="dcterms:W3CDTF">2025-09-03T16:35:00Z</dcterms:created>
  <dcterms:modified xsi:type="dcterms:W3CDTF">2025-09-25T14:16:00Z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0x01010080DC034A3AA52C4E9843432B5F2BD277</vt:lpwstr>
  </property>
  <property fmtid="{D5CDD505-2E9C-101B-9397-08002B2CF9AE}" pid="3" name="MSIP_Label_6a7d8d5d-78e2-4a62-9fcd-016eb5e4c57c_Enabled">
    <vt:lpwstr>true</vt:lpwstr>
  </property>
  <property fmtid="{D5CDD505-2E9C-101B-9397-08002B2CF9AE}" pid="4" name="MSIP_Label_6a7d8d5d-78e2-4a62-9fcd-016eb5e4c57c_SetDate">
    <vt:lpwstr>2024-04-17T19:02:32Z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5b0115b3-226d-44f7-8fa4-227b0be49ebd</vt:lpwstr>
  </property>
  <property fmtid="{D5CDD505-2E9C-101B-9397-08002B2CF9AE}" pid="9" name="MSIP_Label_6a7d8d5d-78e2-4a62-9fcd-016eb5e4c57c_ContentBits">
    <vt:lpwstr>0</vt:lpwstr>
  </property>
  <property fmtid="{D5CDD505-2E9C-101B-9397-08002B2CF9AE}" pid="10" name="MediaServiceImageTags">
    <vt:lpwstr/>
  </property>
</Properties>
</file>