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TitreCRACHUSJ"/>
      </w:pPr>
      <w:r>
        <w:drawing>
          <wp:anchor distT="0" distB="360045" distL="114300" distR="360045" simplePos="0" relativeHeight="251659264" behindDoc="1" locked="0" layoutInCell="1" allowOverlap="0">
            <wp:simplePos x="0" y="0"/>
            <wp:positionH relativeFrom="margin">
              <wp:posOffset>-394998</wp:posOffset>
            </wp:positionH>
            <wp:positionV relativeFrom="margin">
              <wp:posOffset>-381313</wp:posOffset>
            </wp:positionV>
            <wp:extent cx="1425600" cy="950400"/>
            <wp:effectExtent l="0" t="0" r="0" b="0"/>
            <wp:wrapSquare wrapText="right"/>
            <wp:docPr id="957623230"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623230" name="Image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25600" cy="950400"/>
                    </a:xfrm>
                    <a:prstGeom prst="rect">
                      <a:avLst/>
                    </a:prstGeom>
                  </pic:spPr>
                </pic:pic>
              </a:graphicData>
            </a:graphic>
            <wp14:sizeRelH relativeFrom="margin">
              <wp14:pctWidth>0</wp14:pctWidth>
            </wp14:sizeRelH>
            <wp14:sizeRelV relativeFrom="margin">
              <wp14:pctHeight>0</wp14:pctHeight>
            </wp14:sizeRelV>
          </wp:anchor>
        </w:drawing>
      </w:r>
      <w:r>
        <w:t>Plan de gestion des données (PGD)</w:t>
      </w:r>
      <w:r>
        <w:br/>
        <w:t>Modèle du Centre de recherche Azrieli du CHU Sainte-Justine</w:t>
      </w:r>
    </w:p>
    <w:p/>
    <w:p>
      <w:pPr>
        <w:jc w:val="both"/>
        <w:rPr>
          <w:b/>
        </w:rPr>
      </w:pPr>
      <w:r>
        <w:rPr>
          <w:b/>
        </w:rPr>
        <w:t>Aussi disponible sur l’</w:t>
      </w:r>
      <w:hyperlink r:id="rId13" w:history="1">
        <w:r>
          <w:rPr>
            <w:rStyle w:val="Lienhypertexte"/>
            <w:b/>
          </w:rPr>
          <w:t>Assistant PGD</w:t>
        </w:r>
      </w:hyperlink>
      <w:r>
        <w:rPr>
          <w:b/>
        </w:rPr>
        <w:t>.</w:t>
      </w:r>
    </w:p>
    <w:p>
      <w:pPr>
        <w:jc w:val="both"/>
      </w:pPr>
    </w:p>
    <w:p>
      <w:pPr>
        <w:jc w:val="both"/>
      </w:pPr>
      <w:r>
        <w:t xml:space="preserve">Merci d’avoir téléchargé le modèle de PGD (plan de gestion des données de recherche) du Centre de recherche Azrieli du CHU Sainte-Justine. Ce modèle est conçu pour soutenir nos équipes dans la rédaction d’un PGD complet. Une </w:t>
      </w:r>
      <w:hyperlink r:id="rId14" w:history="1">
        <w:r>
          <w:rPr>
            <w:rStyle w:val="Lienhypertexte"/>
            <w:b/>
          </w:rPr>
          <w:t>version courte du modèle de PGD</w:t>
        </w:r>
      </w:hyperlink>
      <w:r>
        <w:t xml:space="preserve"> est également disponible pour le développement de plans abrégés à intégrer dans vos demandes de subvention, protocoles, formulaires d’évaluation éthique, etc.</w:t>
      </w:r>
    </w:p>
    <w:p>
      <w:pPr>
        <w:jc w:val="both"/>
      </w:pPr>
      <w:r>
        <w:t>L’équipe de soutien en gestion des données de recherche (GDR) a conçu ce modèle de PGD pour faciliter le travail des équipes de recherche. L’utilisation de la version Word du modèle institutionnel ou de l’</w:t>
      </w:r>
      <w:hyperlink r:id="rId15">
        <w:r>
          <w:rPr>
            <w:rStyle w:val="Lienhypertexte"/>
            <w:b/>
            <w:bCs/>
          </w:rPr>
          <w:t>Assistant PGD</w:t>
        </w:r>
      </w:hyperlink>
      <w:r>
        <w:t xml:space="preserve"> démontre l’importance que nos équipes accordent à la GDR. Votre proactivité dans l’usage de ces outils est appréciée.</w:t>
      </w:r>
    </w:p>
    <w:p>
      <w:pPr>
        <w:jc w:val="both"/>
      </w:pPr>
      <w:r>
        <w:t xml:space="preserve">Prochainement, les </w:t>
      </w:r>
      <w:hyperlink r:id="rId16">
        <w:r>
          <w:rPr>
            <w:rStyle w:val="Lienhypertexte"/>
            <w:b/>
            <w:bCs/>
          </w:rPr>
          <w:t>organismes subventionnaires</w:t>
        </w:r>
      </w:hyperlink>
      <w:r>
        <w:t xml:space="preserve"> vont exiger que chaque demande de subvention soit accompagnée d’un PGD. Nous vous invitons à vous familiariser à cet outil afin de vous préparer au déploiement général de cette exigence. Le PGD est un </w:t>
      </w:r>
      <w:r>
        <w:rPr>
          <w:b/>
          <w:bCs/>
        </w:rPr>
        <w:t>document évolutif</w:t>
      </w:r>
      <w:r>
        <w:t xml:space="preserve"> qui vous suivra au cours de votre étude. Continuez de le </w:t>
      </w:r>
      <w:r>
        <w:rPr>
          <w:b/>
          <w:bCs/>
        </w:rPr>
        <w:t>mettre à jour</w:t>
      </w:r>
      <w:r>
        <w:t xml:space="preserve"> au fur et à mesure de votre projet.</w:t>
      </w:r>
    </w:p>
    <w:p>
      <w:pPr>
        <w:jc w:val="both"/>
      </w:pPr>
      <w:r>
        <w:t xml:space="preserve">Pour plus d’information et de ressources liées à la GDR, consultez le </w:t>
      </w:r>
      <w:hyperlink r:id="rId17">
        <w:r>
          <w:rPr>
            <w:rStyle w:val="Lienhypertexte"/>
            <w:b/>
            <w:bCs/>
          </w:rPr>
          <w:t>site web des bibliothèques du CHU Sainte-Justine</w:t>
        </w:r>
      </w:hyperlink>
      <w:r>
        <w:t>.</w:t>
      </w:r>
    </w:p>
    <w:p>
      <w:pPr>
        <w:jc w:val="both"/>
      </w:pPr>
      <w:r>
        <w:t xml:space="preserve">Vous avez des questions? Besoin de soutien? Contactez-nous par courriel à l’adresse suivante : </w:t>
      </w:r>
      <w:hyperlink r:id="rId18">
        <w:r>
          <w:rPr>
            <w:rStyle w:val="Lienhypertexte"/>
            <w:b/>
            <w:bCs/>
          </w:rPr>
          <w:t>soutien.gdr.hsj@ssss.gouv.qc.ca</w:t>
        </w:r>
      </w:hyperlink>
      <w:r>
        <w:t>.</w:t>
      </w:r>
    </w:p>
    <w:p>
      <w:pPr>
        <w:jc w:val="both"/>
      </w:pPr>
      <w:r>
        <w:rPr>
          <w:b/>
          <w:bCs/>
          <w:highlight w:val="yellow"/>
        </w:rPr>
        <w:t>N’oubliez pas de supprimer tout le texte en italique (directives, ressources et exemples) après avoir complété votre plan!</w:t>
      </w:r>
    </w:p>
    <w:sdt>
      <w:sdtPr>
        <w:rPr>
          <w:rFonts w:ascii="Arial" w:eastAsiaTheme="minorEastAsia" w:hAnsi="Arial" w:cstheme="minorBidi"/>
          <w:color w:val="auto"/>
          <w:sz w:val="22"/>
          <w:szCs w:val="22"/>
          <w:lang w:eastAsia="en-US"/>
        </w:rPr>
        <w:id w:val="-284429660"/>
        <w:docPartObj>
          <w:docPartGallery w:val="Table of Contents"/>
          <w:docPartUnique/>
        </w:docPartObj>
      </w:sdtPr>
      <w:sdtEndPr>
        <w:rPr>
          <w:b/>
          <w:bCs/>
        </w:rPr>
      </w:sdtEndPr>
      <w:sdtContent>
        <w:p>
          <w:pPr>
            <w:pStyle w:val="En-ttedetabledesmatires"/>
          </w:pPr>
          <w:r>
            <w:t>Table des matières</w:t>
          </w:r>
        </w:p>
        <w:p>
          <w:pPr>
            <w:pStyle w:val="TM1"/>
            <w:tabs>
              <w:tab w:val="right" w:leader="dot" w:pos="9736"/>
            </w:tabs>
            <w:rPr>
              <w:rFonts w:asciiTheme="minorHAnsi" w:eastAsiaTheme="minorEastAsia" w:hAnsiTheme="minorHAnsi"/>
              <w:noProof/>
              <w:lang w:eastAsia="fr-CA"/>
            </w:rPr>
          </w:pPr>
          <w:r>
            <w:fldChar w:fldCharType="begin"/>
          </w:r>
          <w:r>
            <w:instrText xml:space="preserve"> TOC \o "1-3" \h \z \u </w:instrText>
          </w:r>
          <w:r>
            <w:fldChar w:fldCharType="separate"/>
          </w:r>
          <w:hyperlink w:anchor="_Toc210032662" w:history="1">
            <w:r>
              <w:rPr>
                <w:rStyle w:val="Lienhypertexte"/>
                <w:noProof/>
              </w:rPr>
              <w:t>Détails du projet</w:t>
            </w:r>
            <w:r>
              <w:rPr>
                <w:noProof/>
                <w:webHidden/>
              </w:rPr>
              <w:tab/>
            </w:r>
            <w:r>
              <w:rPr>
                <w:noProof/>
                <w:webHidden/>
              </w:rPr>
              <w:fldChar w:fldCharType="begin"/>
            </w:r>
            <w:r>
              <w:rPr>
                <w:noProof/>
                <w:webHidden/>
              </w:rPr>
              <w:instrText xml:space="preserve"> PAGEREF _Toc210032662 \h </w:instrText>
            </w:r>
            <w:r>
              <w:rPr>
                <w:noProof/>
                <w:webHidden/>
              </w:rPr>
            </w:r>
            <w:r>
              <w:rPr>
                <w:noProof/>
                <w:webHidden/>
              </w:rPr>
              <w:fldChar w:fldCharType="separate"/>
            </w:r>
            <w:r>
              <w:rPr>
                <w:noProof/>
                <w:webHidden/>
              </w:rPr>
              <w:t>2</w:t>
            </w:r>
            <w:r>
              <w:rPr>
                <w:noProof/>
                <w:webHidden/>
              </w:rPr>
              <w:fldChar w:fldCharType="end"/>
            </w:r>
          </w:hyperlink>
        </w:p>
        <w:p>
          <w:pPr>
            <w:pStyle w:val="TM1"/>
            <w:tabs>
              <w:tab w:val="left" w:pos="440"/>
              <w:tab w:val="right" w:leader="dot" w:pos="9736"/>
            </w:tabs>
            <w:rPr>
              <w:rFonts w:asciiTheme="minorHAnsi" w:eastAsiaTheme="minorEastAsia" w:hAnsiTheme="minorHAnsi"/>
              <w:noProof/>
              <w:lang w:eastAsia="fr-CA"/>
            </w:rPr>
          </w:pPr>
          <w:hyperlink w:anchor="_Toc210032663" w:history="1">
            <w:r>
              <w:rPr>
                <w:rStyle w:val="Lienhypertexte"/>
                <w:noProof/>
              </w:rPr>
              <w:t>1.</w:t>
            </w:r>
            <w:r>
              <w:rPr>
                <w:rFonts w:asciiTheme="minorHAnsi" w:eastAsiaTheme="minorEastAsia" w:hAnsiTheme="minorHAnsi"/>
                <w:noProof/>
                <w:lang w:eastAsia="fr-CA"/>
              </w:rPr>
              <w:tab/>
            </w:r>
            <w:r>
              <w:rPr>
                <w:rStyle w:val="Lienhypertexte"/>
                <w:noProof/>
              </w:rPr>
              <w:t>Collecte de données</w:t>
            </w:r>
            <w:r>
              <w:rPr>
                <w:noProof/>
                <w:webHidden/>
              </w:rPr>
              <w:tab/>
            </w:r>
            <w:r>
              <w:rPr>
                <w:noProof/>
                <w:webHidden/>
              </w:rPr>
              <w:fldChar w:fldCharType="begin"/>
            </w:r>
            <w:r>
              <w:rPr>
                <w:noProof/>
                <w:webHidden/>
              </w:rPr>
              <w:instrText xml:space="preserve"> PAGEREF _Toc210032663 \h </w:instrText>
            </w:r>
            <w:r>
              <w:rPr>
                <w:noProof/>
                <w:webHidden/>
              </w:rPr>
            </w:r>
            <w:r>
              <w:rPr>
                <w:noProof/>
                <w:webHidden/>
              </w:rPr>
              <w:fldChar w:fldCharType="separate"/>
            </w:r>
            <w:r>
              <w:rPr>
                <w:noProof/>
                <w:webHidden/>
              </w:rPr>
              <w:t>3</w:t>
            </w:r>
            <w:r>
              <w:rPr>
                <w:noProof/>
                <w:webHidden/>
              </w:rPr>
              <w:fldChar w:fldCharType="end"/>
            </w:r>
          </w:hyperlink>
        </w:p>
        <w:p>
          <w:pPr>
            <w:pStyle w:val="TM1"/>
            <w:tabs>
              <w:tab w:val="left" w:pos="440"/>
              <w:tab w:val="right" w:leader="dot" w:pos="9736"/>
            </w:tabs>
            <w:rPr>
              <w:rFonts w:asciiTheme="minorHAnsi" w:eastAsiaTheme="minorEastAsia" w:hAnsiTheme="minorHAnsi"/>
              <w:noProof/>
              <w:lang w:eastAsia="fr-CA"/>
            </w:rPr>
          </w:pPr>
          <w:hyperlink w:anchor="_Toc210032664" w:history="1">
            <w:r>
              <w:rPr>
                <w:rStyle w:val="Lienhypertexte"/>
                <w:noProof/>
              </w:rPr>
              <w:t>2.</w:t>
            </w:r>
            <w:r>
              <w:rPr>
                <w:rFonts w:asciiTheme="minorHAnsi" w:eastAsiaTheme="minorEastAsia" w:hAnsiTheme="minorHAnsi"/>
                <w:noProof/>
                <w:lang w:eastAsia="fr-CA"/>
              </w:rPr>
              <w:tab/>
            </w:r>
            <w:r>
              <w:rPr>
                <w:rStyle w:val="Lienhypertexte"/>
                <w:noProof/>
              </w:rPr>
              <w:t>Documentation et métadonnées</w:t>
            </w:r>
            <w:r>
              <w:rPr>
                <w:noProof/>
                <w:webHidden/>
              </w:rPr>
              <w:tab/>
            </w:r>
            <w:r>
              <w:rPr>
                <w:noProof/>
                <w:webHidden/>
              </w:rPr>
              <w:fldChar w:fldCharType="begin"/>
            </w:r>
            <w:r>
              <w:rPr>
                <w:noProof/>
                <w:webHidden/>
              </w:rPr>
              <w:instrText xml:space="preserve"> PAGEREF _Toc210032664 \h </w:instrText>
            </w:r>
            <w:r>
              <w:rPr>
                <w:noProof/>
                <w:webHidden/>
              </w:rPr>
            </w:r>
            <w:r>
              <w:rPr>
                <w:noProof/>
                <w:webHidden/>
              </w:rPr>
              <w:fldChar w:fldCharType="separate"/>
            </w:r>
            <w:r>
              <w:rPr>
                <w:noProof/>
                <w:webHidden/>
              </w:rPr>
              <w:t>6</w:t>
            </w:r>
            <w:r>
              <w:rPr>
                <w:noProof/>
                <w:webHidden/>
              </w:rPr>
              <w:fldChar w:fldCharType="end"/>
            </w:r>
          </w:hyperlink>
        </w:p>
        <w:p>
          <w:pPr>
            <w:pStyle w:val="TM1"/>
            <w:tabs>
              <w:tab w:val="left" w:pos="440"/>
              <w:tab w:val="right" w:leader="dot" w:pos="9736"/>
            </w:tabs>
            <w:rPr>
              <w:rFonts w:asciiTheme="minorHAnsi" w:eastAsiaTheme="minorEastAsia" w:hAnsiTheme="minorHAnsi"/>
              <w:noProof/>
              <w:lang w:eastAsia="fr-CA"/>
            </w:rPr>
          </w:pPr>
          <w:hyperlink w:anchor="_Toc210032665" w:history="1">
            <w:r>
              <w:rPr>
                <w:rStyle w:val="Lienhypertexte"/>
                <w:noProof/>
              </w:rPr>
              <w:t>3.</w:t>
            </w:r>
            <w:r>
              <w:rPr>
                <w:rFonts w:asciiTheme="minorHAnsi" w:eastAsiaTheme="minorEastAsia" w:hAnsiTheme="minorHAnsi"/>
                <w:noProof/>
                <w:lang w:eastAsia="fr-CA"/>
              </w:rPr>
              <w:tab/>
            </w:r>
            <w:r>
              <w:rPr>
                <w:rStyle w:val="Lienhypertexte"/>
                <w:noProof/>
              </w:rPr>
              <w:t>Stockage et sauvegarde</w:t>
            </w:r>
            <w:r>
              <w:rPr>
                <w:noProof/>
                <w:webHidden/>
              </w:rPr>
              <w:tab/>
            </w:r>
            <w:r>
              <w:rPr>
                <w:noProof/>
                <w:webHidden/>
              </w:rPr>
              <w:fldChar w:fldCharType="begin"/>
            </w:r>
            <w:r>
              <w:rPr>
                <w:noProof/>
                <w:webHidden/>
              </w:rPr>
              <w:instrText xml:space="preserve"> PAGEREF _Toc210032665 \h </w:instrText>
            </w:r>
            <w:r>
              <w:rPr>
                <w:noProof/>
                <w:webHidden/>
              </w:rPr>
            </w:r>
            <w:r>
              <w:rPr>
                <w:noProof/>
                <w:webHidden/>
              </w:rPr>
              <w:fldChar w:fldCharType="separate"/>
            </w:r>
            <w:r>
              <w:rPr>
                <w:noProof/>
                <w:webHidden/>
              </w:rPr>
              <w:t>9</w:t>
            </w:r>
            <w:r>
              <w:rPr>
                <w:noProof/>
                <w:webHidden/>
              </w:rPr>
              <w:fldChar w:fldCharType="end"/>
            </w:r>
          </w:hyperlink>
        </w:p>
        <w:p>
          <w:pPr>
            <w:pStyle w:val="TM1"/>
            <w:tabs>
              <w:tab w:val="left" w:pos="440"/>
              <w:tab w:val="right" w:leader="dot" w:pos="9736"/>
            </w:tabs>
            <w:rPr>
              <w:rFonts w:asciiTheme="minorHAnsi" w:eastAsiaTheme="minorEastAsia" w:hAnsiTheme="minorHAnsi"/>
              <w:noProof/>
              <w:lang w:eastAsia="fr-CA"/>
            </w:rPr>
          </w:pPr>
          <w:hyperlink w:anchor="_Toc210032666" w:history="1">
            <w:r>
              <w:rPr>
                <w:rStyle w:val="Lienhypertexte"/>
                <w:noProof/>
              </w:rPr>
              <w:t>4.</w:t>
            </w:r>
            <w:r>
              <w:rPr>
                <w:rFonts w:asciiTheme="minorHAnsi" w:eastAsiaTheme="minorEastAsia" w:hAnsiTheme="minorHAnsi"/>
                <w:noProof/>
                <w:lang w:eastAsia="fr-CA"/>
              </w:rPr>
              <w:tab/>
            </w:r>
            <w:r>
              <w:rPr>
                <w:rStyle w:val="Lienhypertexte"/>
                <w:noProof/>
              </w:rPr>
              <w:t>Préservation</w:t>
            </w:r>
            <w:r>
              <w:rPr>
                <w:noProof/>
                <w:webHidden/>
              </w:rPr>
              <w:tab/>
            </w:r>
            <w:r>
              <w:rPr>
                <w:noProof/>
                <w:webHidden/>
              </w:rPr>
              <w:fldChar w:fldCharType="begin"/>
            </w:r>
            <w:r>
              <w:rPr>
                <w:noProof/>
                <w:webHidden/>
              </w:rPr>
              <w:instrText xml:space="preserve"> PAGEREF _Toc210032666 \h </w:instrText>
            </w:r>
            <w:r>
              <w:rPr>
                <w:noProof/>
                <w:webHidden/>
              </w:rPr>
            </w:r>
            <w:r>
              <w:rPr>
                <w:noProof/>
                <w:webHidden/>
              </w:rPr>
              <w:fldChar w:fldCharType="separate"/>
            </w:r>
            <w:r>
              <w:rPr>
                <w:noProof/>
                <w:webHidden/>
              </w:rPr>
              <w:t>11</w:t>
            </w:r>
            <w:r>
              <w:rPr>
                <w:noProof/>
                <w:webHidden/>
              </w:rPr>
              <w:fldChar w:fldCharType="end"/>
            </w:r>
          </w:hyperlink>
        </w:p>
        <w:p>
          <w:pPr>
            <w:pStyle w:val="TM1"/>
            <w:tabs>
              <w:tab w:val="left" w:pos="440"/>
              <w:tab w:val="right" w:leader="dot" w:pos="9736"/>
            </w:tabs>
            <w:rPr>
              <w:rFonts w:asciiTheme="minorHAnsi" w:eastAsiaTheme="minorEastAsia" w:hAnsiTheme="minorHAnsi"/>
              <w:noProof/>
              <w:lang w:eastAsia="fr-CA"/>
            </w:rPr>
          </w:pPr>
          <w:hyperlink w:anchor="_Toc210032667" w:history="1">
            <w:r>
              <w:rPr>
                <w:rStyle w:val="Lienhypertexte"/>
                <w:noProof/>
              </w:rPr>
              <w:t>5.</w:t>
            </w:r>
            <w:r>
              <w:rPr>
                <w:rFonts w:asciiTheme="minorHAnsi" w:eastAsiaTheme="minorEastAsia" w:hAnsiTheme="minorHAnsi"/>
                <w:noProof/>
                <w:lang w:eastAsia="fr-CA"/>
              </w:rPr>
              <w:tab/>
            </w:r>
            <w:r>
              <w:rPr>
                <w:rStyle w:val="Lienhypertexte"/>
                <w:noProof/>
              </w:rPr>
              <w:t>Partage et réutilisation</w:t>
            </w:r>
            <w:r>
              <w:rPr>
                <w:noProof/>
                <w:webHidden/>
              </w:rPr>
              <w:tab/>
            </w:r>
            <w:r>
              <w:rPr>
                <w:noProof/>
                <w:webHidden/>
              </w:rPr>
              <w:fldChar w:fldCharType="begin"/>
            </w:r>
            <w:r>
              <w:rPr>
                <w:noProof/>
                <w:webHidden/>
              </w:rPr>
              <w:instrText xml:space="preserve"> PAGEREF _Toc210032667 \h </w:instrText>
            </w:r>
            <w:r>
              <w:rPr>
                <w:noProof/>
                <w:webHidden/>
              </w:rPr>
            </w:r>
            <w:r>
              <w:rPr>
                <w:noProof/>
                <w:webHidden/>
              </w:rPr>
              <w:fldChar w:fldCharType="separate"/>
            </w:r>
            <w:r>
              <w:rPr>
                <w:noProof/>
                <w:webHidden/>
              </w:rPr>
              <w:t>14</w:t>
            </w:r>
            <w:r>
              <w:rPr>
                <w:noProof/>
                <w:webHidden/>
              </w:rPr>
              <w:fldChar w:fldCharType="end"/>
            </w:r>
          </w:hyperlink>
        </w:p>
        <w:p>
          <w:pPr>
            <w:pStyle w:val="TM1"/>
            <w:tabs>
              <w:tab w:val="left" w:pos="440"/>
              <w:tab w:val="right" w:leader="dot" w:pos="9736"/>
            </w:tabs>
            <w:rPr>
              <w:rFonts w:asciiTheme="minorHAnsi" w:eastAsiaTheme="minorEastAsia" w:hAnsiTheme="minorHAnsi"/>
              <w:noProof/>
              <w:lang w:eastAsia="fr-CA"/>
            </w:rPr>
          </w:pPr>
          <w:hyperlink w:anchor="_Toc210032668" w:history="1">
            <w:r>
              <w:rPr>
                <w:rStyle w:val="Lienhypertexte"/>
                <w:noProof/>
              </w:rPr>
              <w:t>6.</w:t>
            </w:r>
            <w:r>
              <w:rPr>
                <w:rFonts w:asciiTheme="minorHAnsi" w:eastAsiaTheme="minorEastAsia" w:hAnsiTheme="minorHAnsi"/>
                <w:noProof/>
                <w:lang w:eastAsia="fr-CA"/>
              </w:rPr>
              <w:tab/>
            </w:r>
            <w:r>
              <w:rPr>
                <w:rStyle w:val="Lienhypertexte"/>
                <w:noProof/>
              </w:rPr>
              <w:t>Responsabilités et ressources</w:t>
            </w:r>
            <w:r>
              <w:rPr>
                <w:noProof/>
                <w:webHidden/>
              </w:rPr>
              <w:tab/>
            </w:r>
            <w:r>
              <w:rPr>
                <w:noProof/>
                <w:webHidden/>
              </w:rPr>
              <w:fldChar w:fldCharType="begin"/>
            </w:r>
            <w:r>
              <w:rPr>
                <w:noProof/>
                <w:webHidden/>
              </w:rPr>
              <w:instrText xml:space="preserve"> PAGEREF _Toc210032668 \h </w:instrText>
            </w:r>
            <w:r>
              <w:rPr>
                <w:noProof/>
                <w:webHidden/>
              </w:rPr>
            </w:r>
            <w:r>
              <w:rPr>
                <w:noProof/>
                <w:webHidden/>
              </w:rPr>
              <w:fldChar w:fldCharType="separate"/>
            </w:r>
            <w:r>
              <w:rPr>
                <w:noProof/>
                <w:webHidden/>
              </w:rPr>
              <w:t>18</w:t>
            </w:r>
            <w:r>
              <w:rPr>
                <w:noProof/>
                <w:webHidden/>
              </w:rPr>
              <w:fldChar w:fldCharType="end"/>
            </w:r>
          </w:hyperlink>
        </w:p>
        <w:p>
          <w:pPr>
            <w:pStyle w:val="TM1"/>
            <w:tabs>
              <w:tab w:val="left" w:pos="440"/>
              <w:tab w:val="right" w:leader="dot" w:pos="9736"/>
            </w:tabs>
          </w:pPr>
          <w:hyperlink w:anchor="_Toc210032669" w:history="1">
            <w:r>
              <w:rPr>
                <w:rStyle w:val="Lienhypertexte"/>
                <w:noProof/>
              </w:rPr>
              <w:t>7.</w:t>
            </w:r>
            <w:r>
              <w:rPr>
                <w:rFonts w:asciiTheme="minorHAnsi" w:eastAsiaTheme="minorEastAsia" w:hAnsiTheme="minorHAnsi"/>
                <w:noProof/>
                <w:lang w:eastAsia="fr-CA"/>
              </w:rPr>
              <w:tab/>
            </w:r>
            <w:r>
              <w:rPr>
                <w:rStyle w:val="Lienhypertexte"/>
                <w:noProof/>
              </w:rPr>
              <w:t>Conformité éthique et juridique</w:t>
            </w:r>
            <w:r>
              <w:rPr>
                <w:noProof/>
                <w:webHidden/>
              </w:rPr>
              <w:tab/>
            </w:r>
            <w:r>
              <w:rPr>
                <w:noProof/>
                <w:webHidden/>
              </w:rPr>
              <w:fldChar w:fldCharType="begin"/>
            </w:r>
            <w:r>
              <w:rPr>
                <w:noProof/>
                <w:webHidden/>
              </w:rPr>
              <w:instrText xml:space="preserve"> PAGEREF _Toc210032669 \h </w:instrText>
            </w:r>
            <w:r>
              <w:rPr>
                <w:noProof/>
                <w:webHidden/>
              </w:rPr>
            </w:r>
            <w:r>
              <w:rPr>
                <w:noProof/>
                <w:webHidden/>
              </w:rPr>
              <w:fldChar w:fldCharType="separate"/>
            </w:r>
            <w:r>
              <w:rPr>
                <w:noProof/>
                <w:webHidden/>
              </w:rPr>
              <w:t>20</w:t>
            </w:r>
            <w:r>
              <w:rPr>
                <w:noProof/>
                <w:webHidden/>
              </w:rPr>
              <w:fldChar w:fldCharType="end"/>
            </w:r>
          </w:hyperlink>
          <w:r>
            <w:rPr>
              <w:b/>
              <w:bCs/>
            </w:rPr>
            <w:fldChar w:fldCharType="end"/>
          </w:r>
        </w:p>
        <w:bookmarkStart w:id="0" w:name="_GoBack" w:displacedByCustomXml="next"/>
        <w:bookmarkEnd w:id="0" w:displacedByCustomXml="next"/>
      </w:sdtContent>
    </w:sdt>
    <w:p>
      <w:pPr>
        <w:rPr>
          <w:rFonts w:eastAsia="Calibri" w:cs="Arial"/>
        </w:rPr>
      </w:pPr>
      <w:r>
        <w:rPr>
          <w:rFonts w:eastAsia="Calibri" w:cs="Arial"/>
        </w:rPr>
        <w:br w:type="page"/>
      </w:r>
    </w:p>
    <w:p>
      <w:pPr>
        <w:pStyle w:val="Titre1CRACHUSJ"/>
        <w:numPr>
          <w:ilvl w:val="0"/>
          <w:numId w:val="0"/>
        </w:numPr>
      </w:pPr>
      <w:bookmarkStart w:id="1" w:name="_Toc208419165"/>
      <w:bookmarkStart w:id="2" w:name="_Toc210032662"/>
      <w:r>
        <w:lastRenderedPageBreak/>
        <w:t>Détails du projet</w:t>
      </w:r>
      <w:bookmarkEnd w:id="1"/>
      <w:bookmarkEnd w:id="2"/>
    </w:p>
    <w:p>
      <w:r>
        <w:rPr>
          <w:b/>
          <w:bCs/>
        </w:rPr>
        <w:t>Titre du projet :</w:t>
      </w:r>
    </w:p>
    <w:p/>
    <w:p>
      <w:r>
        <w:rPr>
          <w:b/>
          <w:bCs/>
        </w:rPr>
        <w:t>Résumé du projet :</w:t>
      </w:r>
    </w:p>
    <w:p/>
    <w:p>
      <w:r>
        <w:rPr>
          <w:b/>
          <w:bCs/>
        </w:rPr>
        <w:t>Date de début et de fin du projet :</w:t>
      </w:r>
    </w:p>
    <w:p/>
    <w:p>
      <w:pPr>
        <w:rPr>
          <w:b/>
          <w:bCs/>
        </w:rPr>
      </w:pPr>
      <w:r>
        <w:rPr>
          <w:b/>
          <w:bCs/>
        </w:rPr>
        <w:t>Contributeurs au projet :</w:t>
      </w:r>
    </w:p>
    <w:p/>
    <w:p>
      <w:r>
        <w:br w:type="page"/>
      </w:r>
    </w:p>
    <w:p>
      <w:pPr>
        <w:pStyle w:val="Titre1CRACHUSJ"/>
        <w:numPr>
          <w:ilvl w:val="0"/>
          <w:numId w:val="27"/>
        </w:numPr>
      </w:pPr>
      <w:bookmarkStart w:id="3" w:name="_Toc208419166"/>
      <w:bookmarkStart w:id="4" w:name="_Toc210032663"/>
      <w:r>
        <w:lastRenderedPageBreak/>
        <w:t>Collecte de données</w:t>
      </w:r>
      <w:bookmarkEnd w:id="3"/>
      <w:bookmarkEnd w:id="4"/>
    </w:p>
    <w:p>
      <w:pPr>
        <w:pStyle w:val="Desc-section"/>
        <w:rPr>
          <w:lang w:val="fr-CA"/>
        </w:rPr>
      </w:pPr>
      <w:r>
        <w:rPr>
          <w:lang w:val="fr-CA"/>
        </w:rPr>
        <w:t>Cette section traite des questions relatives à la collecte de données comme les types de données, les formats de fichier, les conventions de nommage et l’organisation des données – des facteurs qui amélioreront la facilité d’utilisation de vos données et contribueront au succès de votre projet.</w:t>
      </w:r>
    </w:p>
    <w:p>
      <w:pPr>
        <w:jc w:val="both"/>
      </w:pPr>
    </w:p>
    <w:p>
      <w:pPr>
        <w:pStyle w:val="Question-PGD"/>
        <w:rPr>
          <w:lang w:val="fr-CA"/>
        </w:rPr>
      </w:pPr>
      <w:r>
        <w:rPr>
          <w:lang w:val="fr-CA"/>
        </w:rPr>
        <w:t>1.1 Décrivez les types de données, les sources de données potentielles que vous acquérez dans le cadre de cette étude, ainsi que les formats dans lesquels vos données seront collectées. Les formats que vous utiliserez permettent-ils une réutilisation future de vos données? Faudra-t-il un logiciel tiers pour y avoir accès?</w:t>
      </w:r>
    </w:p>
    <w:p>
      <w:pPr>
        <w:pStyle w:val="EspaceentreQDirectives"/>
        <w:rPr>
          <w:lang w:val="fr-CA"/>
        </w:rPr>
      </w:pPr>
    </w:p>
    <w:p>
      <w:pPr>
        <w:pStyle w:val="Directives-intitul"/>
        <w:rPr>
          <w:lang w:val="fr-CA"/>
        </w:rPr>
      </w:pPr>
      <w:r>
        <w:rPr>
          <w:lang w:val="fr-CA"/>
        </w:rPr>
        <w:t>Directives</w:t>
      </w:r>
    </w:p>
    <w:p>
      <w:pPr>
        <w:pStyle w:val="Directives-corps"/>
        <w:rPr>
          <w:lang w:val="fr-CA"/>
        </w:rPr>
      </w:pPr>
      <w:r>
        <w:rPr>
          <w:lang w:val="fr-CA"/>
        </w:rPr>
        <w:t>Soyez aussi précis que possible quant aux types de données que vous collecterez (données numériques, images, audio, vidéo, texte, données tabulaires, données de modélisation, données géospatiales, données d’instrumentation, données cliniques, données administratives, dossiers de patients électroniques, données d’imagerie, données d’enquête, etc.) ainsi que les formats des fichiers/données.</w:t>
      </w:r>
    </w:p>
    <w:p>
      <w:pPr>
        <w:pStyle w:val="Directives-corps"/>
        <w:rPr>
          <w:lang w:val="fr-CA"/>
        </w:rPr>
      </w:pPr>
      <w:r>
        <w:rPr>
          <w:lang w:val="fr-CA"/>
        </w:rPr>
        <w:t>Pour chaque type de données acquises ou collectées, soyez aussi précis que possible en mentionnant les formats associés.</w:t>
      </w:r>
    </w:p>
    <w:p>
      <w:pPr>
        <w:pStyle w:val="EspaceentreQDirectives"/>
        <w:rPr>
          <w:lang w:val="fr-CA"/>
        </w:rPr>
      </w:pPr>
    </w:p>
    <w:p>
      <w:pPr>
        <w:pStyle w:val="Ress-intitul"/>
        <w:rPr>
          <w:lang w:val="fr-CA"/>
        </w:rPr>
      </w:pPr>
      <w:r>
        <w:rPr>
          <w:lang w:val="fr-CA"/>
        </w:rPr>
        <w:t>Ressources</w:t>
      </w:r>
    </w:p>
    <w:p>
      <w:pPr>
        <w:pStyle w:val="Exemple-corps"/>
        <w:rPr>
          <w:b/>
          <w:lang w:val="fr-CA"/>
        </w:rPr>
      </w:pPr>
      <w:hyperlink r:id="rId19">
        <w:r>
          <w:rPr>
            <w:rStyle w:val="Lienhypertexte"/>
            <w:lang w:val="fr-CA"/>
          </w:rPr>
          <w:t>Recommandations relatives aux formats de fichier pour la préservation numérique</w:t>
        </w:r>
      </w:hyperlink>
      <w:r>
        <w:rPr>
          <w:lang w:val="fr-CA"/>
        </w:rPr>
        <w:t>, guide du Ministère du Patrimoine canadien</w:t>
      </w:r>
    </w:p>
    <w:p>
      <w:pPr>
        <w:pStyle w:val="Exemple-corps"/>
        <w:rPr>
          <w:b/>
          <w:lang w:val="fr-CA"/>
        </w:rPr>
      </w:pPr>
      <w:hyperlink r:id="rId20">
        <w:r>
          <w:rPr>
            <w:rStyle w:val="Lienhypertexte"/>
            <w:lang w:val="fr-CA"/>
          </w:rPr>
          <w:t>Guide concernant les formats recommandés</w:t>
        </w:r>
      </w:hyperlink>
      <w:r>
        <w:rPr>
          <w:lang w:val="fr-CA"/>
        </w:rPr>
        <w:t>, guide de BAnQ</w:t>
      </w:r>
    </w:p>
    <w:p>
      <w:pPr>
        <w:pStyle w:val="Exemple-corps"/>
        <w:rPr>
          <w:b/>
          <w:lang w:val="fr-CA"/>
        </w:rPr>
      </w:pPr>
      <w:r>
        <w:rPr>
          <w:lang w:val="fr-CA"/>
        </w:rPr>
        <w:t xml:space="preserve">Pour plus d’information sur les formats ouverts et fermés, voir </w:t>
      </w:r>
      <w:hyperlink r:id="rId21">
        <w:proofErr w:type="spellStart"/>
        <w:r>
          <w:rPr>
            <w:rStyle w:val="Lienhypertexte"/>
            <w:lang w:val="fr-CA"/>
          </w:rPr>
          <w:t>DORANum</w:t>
        </w:r>
        <w:proofErr w:type="spellEnd"/>
      </w:hyperlink>
      <w:r>
        <w:rPr>
          <w:lang w:val="fr-CA"/>
        </w:rPr>
        <w:t>.</w:t>
      </w:r>
    </w:p>
    <w:p>
      <w:pPr>
        <w:pStyle w:val="Exemple-corps"/>
        <w:rPr>
          <w:b/>
          <w:lang w:val="fr-CA"/>
        </w:rPr>
      </w:pPr>
      <w:r>
        <w:rPr>
          <w:lang w:val="fr-CA"/>
        </w:rPr>
        <w:t xml:space="preserve">Pour en apprendre plus sur les formats qui facilitent la réutilisation, le partage et l’accès à long terme des données, voir </w:t>
      </w:r>
      <w:hyperlink r:id="rId22">
        <w:r>
          <w:rPr>
            <w:rStyle w:val="Lienhypertexte"/>
            <w:lang w:val="fr-CA"/>
          </w:rPr>
          <w:t>UK Data Service</w:t>
        </w:r>
      </w:hyperlink>
      <w:r>
        <w:rPr>
          <w:lang w:val="fr-CA"/>
        </w:rPr>
        <w:t>.</w:t>
      </w:r>
    </w:p>
    <w:p>
      <w:pPr>
        <w:pStyle w:val="Exemple-corps"/>
        <w:rPr>
          <w:lang w:val="fr-CA"/>
        </w:rPr>
      </w:pPr>
    </w:p>
    <w:p>
      <w:pPr>
        <w:pStyle w:val="Exemple-intitul"/>
        <w:rPr>
          <w:lang w:val="fr-CA"/>
        </w:rPr>
      </w:pPr>
      <w:r>
        <w:rPr>
          <w:lang w:val="fr-CA"/>
        </w:rPr>
        <w:t>Exemple</w:t>
      </w:r>
    </w:p>
    <w:p>
      <w:pPr>
        <w:pStyle w:val="Exemple-corps"/>
        <w:rPr>
          <w:lang w:val="fr-CA"/>
        </w:rPr>
      </w:pPr>
      <w:r>
        <w:rPr>
          <w:lang w:val="fr-CA"/>
        </w:rPr>
        <w:t>Les données recueillies au cours de cette étude comprennent :</w:t>
      </w:r>
    </w:p>
    <w:p>
      <w:pPr>
        <w:pStyle w:val="Exemple-corps"/>
        <w:numPr>
          <w:ilvl w:val="0"/>
          <w:numId w:val="21"/>
        </w:numPr>
        <w:rPr>
          <w:lang w:val="fr-CA"/>
        </w:rPr>
      </w:pPr>
      <w:r>
        <w:rPr>
          <w:lang w:val="fr-CA"/>
        </w:rPr>
        <w:t>Enregistrements d’entrevues cliniques (vidéo, .mp4)</w:t>
      </w:r>
    </w:p>
    <w:p>
      <w:pPr>
        <w:pStyle w:val="Exemple-corps"/>
        <w:numPr>
          <w:ilvl w:val="0"/>
          <w:numId w:val="21"/>
        </w:numPr>
        <w:rPr>
          <w:lang w:val="fr-CA"/>
        </w:rPr>
      </w:pPr>
      <w:r>
        <w:rPr>
          <w:lang w:val="fr-CA"/>
        </w:rPr>
        <w:t>Transcriptions d’entrevues cliniques (texte, .</w:t>
      </w:r>
      <w:proofErr w:type="spellStart"/>
      <w:r>
        <w:rPr>
          <w:lang w:val="fr-CA"/>
        </w:rPr>
        <w:t>rtf</w:t>
      </w:r>
      <w:proofErr w:type="spellEnd"/>
      <w:r>
        <w:rPr>
          <w:lang w:val="fr-CA"/>
        </w:rPr>
        <w:t>)</w:t>
      </w:r>
    </w:p>
    <w:p>
      <w:pPr>
        <w:pStyle w:val="Exemple-corps"/>
        <w:numPr>
          <w:ilvl w:val="0"/>
          <w:numId w:val="21"/>
        </w:numPr>
      </w:pPr>
      <w:proofErr w:type="spellStart"/>
      <w:r>
        <w:t>Résultats</w:t>
      </w:r>
      <w:proofErr w:type="spellEnd"/>
      <w:r>
        <w:t xml:space="preserve"> de </w:t>
      </w:r>
      <w:proofErr w:type="spellStart"/>
      <w:r>
        <w:t>sondages</w:t>
      </w:r>
      <w:proofErr w:type="spellEnd"/>
    </w:p>
    <w:p>
      <w:pPr>
        <w:pStyle w:val="Exemple-corps"/>
        <w:numPr>
          <w:ilvl w:val="0"/>
          <w:numId w:val="21"/>
        </w:numPr>
        <w:rPr>
          <w:lang w:val="fr-CA"/>
        </w:rPr>
      </w:pPr>
      <w:r>
        <w:rPr>
          <w:lang w:val="fr-CA"/>
        </w:rPr>
        <w:t>Images en neuroimagerie (</w:t>
      </w:r>
      <w:proofErr w:type="gramStart"/>
      <w:r>
        <w:rPr>
          <w:lang w:val="fr-CA"/>
        </w:rPr>
        <w:t>en .</w:t>
      </w:r>
      <w:proofErr w:type="spellStart"/>
      <w:r>
        <w:rPr>
          <w:lang w:val="fr-CA"/>
        </w:rPr>
        <w:t>dcm</w:t>
      </w:r>
      <w:proofErr w:type="spellEnd"/>
      <w:proofErr w:type="gramEnd"/>
      <w:r>
        <w:rPr>
          <w:lang w:val="fr-CA"/>
        </w:rPr>
        <w:t>)</w:t>
      </w:r>
    </w:p>
    <w:p>
      <w:pPr>
        <w:pStyle w:val="Exemple-corps"/>
        <w:numPr>
          <w:ilvl w:val="0"/>
          <w:numId w:val="21"/>
        </w:numPr>
      </w:pPr>
      <w:proofErr w:type="spellStart"/>
      <w:r>
        <w:t>Données</w:t>
      </w:r>
      <w:proofErr w:type="spellEnd"/>
      <w:r>
        <w:t xml:space="preserve"> </w:t>
      </w:r>
      <w:proofErr w:type="spellStart"/>
      <w:r>
        <w:t>cliniques</w:t>
      </w:r>
      <w:proofErr w:type="spellEnd"/>
      <w:r>
        <w:t xml:space="preserve"> (</w:t>
      </w:r>
      <w:proofErr w:type="spellStart"/>
      <w:r>
        <w:t>en</w:t>
      </w:r>
      <w:proofErr w:type="spellEnd"/>
      <w:r>
        <w:t xml:space="preserve"> .xlsx)</w:t>
      </w:r>
    </w:p>
    <w:p>
      <w:pPr>
        <w:pStyle w:val="Exemple-corps"/>
        <w:numPr>
          <w:ilvl w:val="1"/>
          <w:numId w:val="21"/>
        </w:numPr>
      </w:pPr>
      <w:r>
        <w:t xml:space="preserve">Les </w:t>
      </w:r>
      <w:proofErr w:type="spellStart"/>
      <w:r>
        <w:t>signes</w:t>
      </w:r>
      <w:proofErr w:type="spellEnd"/>
      <w:r>
        <w:t xml:space="preserve"> </w:t>
      </w:r>
      <w:proofErr w:type="spellStart"/>
      <w:r>
        <w:t>vitaux</w:t>
      </w:r>
      <w:proofErr w:type="spellEnd"/>
    </w:p>
    <w:p>
      <w:pPr>
        <w:pStyle w:val="Exemple-corps"/>
        <w:numPr>
          <w:ilvl w:val="1"/>
          <w:numId w:val="21"/>
        </w:numPr>
      </w:pPr>
      <w:r>
        <w:t>La température du corps</w:t>
      </w:r>
    </w:p>
    <w:p>
      <w:pPr>
        <w:pStyle w:val="Exemple-corps"/>
        <w:numPr>
          <w:ilvl w:val="1"/>
          <w:numId w:val="21"/>
        </w:numPr>
      </w:pPr>
      <w:r>
        <w:t>Groupe sanguin du patient</w:t>
      </w:r>
    </w:p>
    <w:p>
      <w:pPr>
        <w:pStyle w:val="Exemple-corps"/>
        <w:numPr>
          <w:ilvl w:val="1"/>
          <w:numId w:val="21"/>
        </w:numPr>
      </w:pPr>
      <w:r>
        <w:t>La date d’admission du patient</w:t>
      </w:r>
    </w:p>
    <w:p/>
    <w:p>
      <w:pPr>
        <w:pStyle w:val="Question-PGD"/>
        <w:rPr>
          <w:rFonts w:cs="Arial"/>
          <w:lang w:val="fr-CA"/>
        </w:rPr>
      </w:pPr>
      <w:r>
        <w:rPr>
          <w:lang w:val="fr-CA"/>
        </w:rPr>
        <w:t xml:space="preserve">1.2 </w:t>
      </w:r>
      <w:r>
        <w:rPr>
          <w:rFonts w:cs="Arial"/>
          <w:lang w:val="fr-CA"/>
        </w:rPr>
        <w:t>Comment prévoyez-vous acquérir les données utilisées dans le cadre de cette étude?</w:t>
      </w:r>
    </w:p>
    <w:p>
      <w:pPr>
        <w:pStyle w:val="Desc-section"/>
        <w:rPr>
          <w:lang w:val="fr-CA"/>
        </w:rPr>
      </w:pPr>
      <w:sdt>
        <w:sdtPr>
          <w:rPr>
            <w:lang w:val="fr-CA"/>
          </w:rPr>
          <w:id w:val="1423844621"/>
          <w14:checkbox>
            <w14:checked w14:val="0"/>
            <w14:checkedState w14:val="2612" w14:font="MS Gothic"/>
            <w14:uncheckedState w14:val="2610" w14:font="MS Gothic"/>
          </w14:checkbox>
        </w:sdtPr>
        <w:sdtContent>
          <w:r>
            <w:rPr>
              <w:rFonts w:ascii="Segoe UI Symbol" w:hAnsi="Segoe UI Symbol" w:cs="Segoe UI Symbol"/>
              <w:lang w:val="fr-CA"/>
            </w:rPr>
            <w:t>☐</w:t>
          </w:r>
        </w:sdtContent>
      </w:sdt>
      <w:r>
        <w:rPr>
          <w:lang w:val="fr-CA"/>
        </w:rPr>
        <w:t xml:space="preserve"> Données originales créées dans le cadre de l’étude</w:t>
      </w:r>
    </w:p>
    <w:p>
      <w:pPr>
        <w:pStyle w:val="Desc-section"/>
        <w:rPr>
          <w:lang w:val="fr-CA"/>
        </w:rPr>
      </w:pPr>
      <w:sdt>
        <w:sdtPr>
          <w:rPr>
            <w:lang w:val="fr-CA"/>
          </w:rPr>
          <w:id w:val="-473528339"/>
          <w14:checkbox>
            <w14:checked w14:val="0"/>
            <w14:checkedState w14:val="2612" w14:font="MS Gothic"/>
            <w14:uncheckedState w14:val="2610" w14:font="MS Gothic"/>
          </w14:checkbox>
        </w:sdtPr>
        <w:sdtContent>
          <w:r>
            <w:rPr>
              <w:rFonts w:ascii="Segoe UI Symbol" w:hAnsi="Segoe UI Symbol" w:cs="Segoe UI Symbol"/>
              <w:lang w:val="fr-CA"/>
            </w:rPr>
            <w:t>☐</w:t>
          </w:r>
        </w:sdtContent>
      </w:sdt>
      <w:r>
        <w:rPr>
          <w:lang w:val="fr-CA"/>
        </w:rPr>
        <w:t xml:space="preserve"> Données existantes provenant d’un ancien projet de recherche</w:t>
      </w:r>
    </w:p>
    <w:p>
      <w:pPr>
        <w:pStyle w:val="Desc-section"/>
        <w:rPr>
          <w:lang w:val="fr-CA"/>
        </w:rPr>
      </w:pPr>
      <w:sdt>
        <w:sdtPr>
          <w:rPr>
            <w:lang w:val="fr-CA"/>
          </w:rPr>
          <w:id w:val="346585477"/>
          <w14:checkbox>
            <w14:checked w14:val="0"/>
            <w14:checkedState w14:val="2612" w14:font="MS Gothic"/>
            <w14:uncheckedState w14:val="2610" w14:font="MS Gothic"/>
          </w14:checkbox>
        </w:sdtPr>
        <w:sdtContent>
          <w:r>
            <w:rPr>
              <w:rFonts w:ascii="Segoe UI Symbol" w:hAnsi="Segoe UI Symbol" w:cs="Segoe UI Symbol"/>
              <w:lang w:val="fr-CA"/>
            </w:rPr>
            <w:t>☐</w:t>
          </w:r>
        </w:sdtContent>
      </w:sdt>
      <w:r>
        <w:rPr>
          <w:lang w:val="fr-CA"/>
        </w:rPr>
        <w:t xml:space="preserve"> Données existantes provenant du dossier médical de l’usager</w:t>
      </w:r>
    </w:p>
    <w:p>
      <w:pPr>
        <w:pStyle w:val="Desc-section"/>
        <w:rPr>
          <w:lang w:val="fr-CA"/>
        </w:rPr>
      </w:pPr>
      <w:sdt>
        <w:sdtPr>
          <w:rPr>
            <w:lang w:val="fr-CA"/>
          </w:rPr>
          <w:id w:val="-1426107388"/>
          <w14:checkbox>
            <w14:checked w14:val="0"/>
            <w14:checkedState w14:val="2612" w14:font="MS Gothic"/>
            <w14:uncheckedState w14:val="2610" w14:font="MS Gothic"/>
          </w14:checkbox>
        </w:sdtPr>
        <w:sdtContent>
          <w:r>
            <w:rPr>
              <w:rFonts w:ascii="Segoe UI Symbol" w:hAnsi="Segoe UI Symbol" w:cs="Segoe UI Symbol"/>
              <w:lang w:val="fr-CA"/>
            </w:rPr>
            <w:t>☐</w:t>
          </w:r>
        </w:sdtContent>
      </w:sdt>
      <w:r>
        <w:rPr>
          <w:lang w:val="fr-CA"/>
        </w:rPr>
        <w:t xml:space="preserve"> Données existantes provenant de partenaires externes (ex. ISQ, MSSS, etc.)</w:t>
      </w:r>
    </w:p>
    <w:p>
      <w:pPr>
        <w:pStyle w:val="Desc-section"/>
        <w:rPr>
          <w:lang w:val="fr-CA"/>
        </w:rPr>
      </w:pPr>
      <w:sdt>
        <w:sdtPr>
          <w:rPr>
            <w:lang w:val="fr-CA"/>
          </w:rPr>
          <w:id w:val="-253817100"/>
          <w14:checkbox>
            <w14:checked w14:val="0"/>
            <w14:checkedState w14:val="2612" w14:font="MS Gothic"/>
            <w14:uncheckedState w14:val="2610" w14:font="MS Gothic"/>
          </w14:checkbox>
        </w:sdtPr>
        <w:sdtContent>
          <w:r>
            <w:rPr>
              <w:rFonts w:ascii="Segoe UI Symbol" w:hAnsi="Segoe UI Symbol" w:cs="Segoe UI Symbol"/>
              <w:lang w:val="fr-CA"/>
            </w:rPr>
            <w:t>☐</w:t>
          </w:r>
        </w:sdtContent>
      </w:sdt>
      <w:r>
        <w:rPr>
          <w:lang w:val="fr-CA"/>
        </w:rPr>
        <w:t xml:space="preserve"> Données existantes provenant d’un dépôt en ligne (ex. </w:t>
      </w:r>
      <w:proofErr w:type="spellStart"/>
      <w:r>
        <w:rPr>
          <w:lang w:val="fr-CA"/>
        </w:rPr>
        <w:t>Borealis</w:t>
      </w:r>
      <w:proofErr w:type="spellEnd"/>
      <w:r>
        <w:rPr>
          <w:lang w:val="fr-CA"/>
        </w:rPr>
        <w:t>)</w:t>
      </w:r>
    </w:p>
    <w:p>
      <w:pPr>
        <w:pStyle w:val="Desc-section"/>
        <w:rPr>
          <w:lang w:val="fr-CA"/>
        </w:rPr>
      </w:pPr>
      <w:sdt>
        <w:sdtPr>
          <w:rPr>
            <w:lang w:val="fr-CA"/>
          </w:rPr>
          <w:id w:val="-2032943825"/>
          <w14:checkbox>
            <w14:checked w14:val="0"/>
            <w14:checkedState w14:val="2612" w14:font="MS Gothic"/>
            <w14:uncheckedState w14:val="2610" w14:font="MS Gothic"/>
          </w14:checkbox>
        </w:sdtPr>
        <w:sdtContent>
          <w:r>
            <w:rPr>
              <w:rFonts w:ascii="Segoe UI Symbol" w:hAnsi="Segoe UI Symbol" w:cs="Segoe UI Symbol"/>
              <w:lang w:val="fr-CA"/>
            </w:rPr>
            <w:t>☐</w:t>
          </w:r>
        </w:sdtContent>
      </w:sdt>
      <w:r>
        <w:rPr>
          <w:lang w:val="fr-CA"/>
        </w:rPr>
        <w:t xml:space="preserve"> Autre :</w:t>
      </w:r>
    </w:p>
    <w:p>
      <w:pPr>
        <w:pStyle w:val="EspaceentreQDirectives"/>
        <w:rPr>
          <w:lang w:val="fr-CA"/>
        </w:rPr>
      </w:pPr>
    </w:p>
    <w:p>
      <w:pPr>
        <w:pStyle w:val="Directives-intitul"/>
        <w:rPr>
          <w:lang w:val="fr-CA"/>
        </w:rPr>
      </w:pPr>
      <w:r>
        <w:rPr>
          <w:lang w:val="fr-CA"/>
        </w:rPr>
        <w:t>Directives</w:t>
      </w:r>
    </w:p>
    <w:p>
      <w:pPr>
        <w:pStyle w:val="Directives-corps"/>
        <w:rPr>
          <w:lang w:val="fr-CA"/>
        </w:rPr>
      </w:pPr>
      <w:r>
        <w:rPr>
          <w:lang w:val="fr-CA"/>
        </w:rPr>
        <w:t>Pour chaque méthode d’acquisition sélectionnée ci-haut, veuillez décrire les sources de données auxquelles vous aurez recours.</w:t>
      </w:r>
    </w:p>
    <w:p>
      <w:pPr>
        <w:pStyle w:val="Directives-corps"/>
        <w:rPr>
          <w:lang w:val="fr-CA"/>
        </w:rPr>
      </w:pPr>
      <w:r>
        <w:rPr>
          <w:lang w:val="fr-CA"/>
        </w:rPr>
        <w:t xml:space="preserve">S’il s’agit de données originales créées dans le cadre de l’étude, décrivez les outils de collectes que vous utiliserez. Il peut s’agir d’outils de sondage (Formulaires papiers, Microsoft Forms, REDCap du </w:t>
      </w:r>
      <w:bookmarkStart w:id="5" w:name="_Hlk209605870"/>
      <w:r>
        <w:rPr>
          <w:lang w:val="fr-CA"/>
        </w:rPr>
        <w:t>CHU Sainte-Justine</w:t>
      </w:r>
      <w:bookmarkEnd w:id="5"/>
      <w:r>
        <w:rPr>
          <w:lang w:val="fr-CA"/>
        </w:rPr>
        <w:t xml:space="preserve"> ou d’une autre institution, </w:t>
      </w:r>
      <w:proofErr w:type="spellStart"/>
      <w:r>
        <w:rPr>
          <w:lang w:val="fr-CA"/>
        </w:rPr>
        <w:t>Medidata</w:t>
      </w:r>
      <w:proofErr w:type="spellEnd"/>
      <w:r>
        <w:rPr>
          <w:lang w:val="fr-CA"/>
        </w:rPr>
        <w:t xml:space="preserve"> Rave, etc.), d’outils technologiques (caméras, capteurs de mouvement, vêtements connectés, EEG, etc.) ou autres.</w:t>
      </w:r>
    </w:p>
    <w:p>
      <w:pPr>
        <w:pStyle w:val="Directives-corps"/>
        <w:rPr>
          <w:lang w:val="fr-CA"/>
        </w:rPr>
      </w:pPr>
      <w:r>
        <w:rPr>
          <w:lang w:val="fr-CA"/>
        </w:rPr>
        <w:t>S’il s’agit de données existantes, décrivez leur provenance (nom, lieu, URL) ainsi que la manière dont vous les obtiendrez et les intégrerez à votre projet de recherche. Décrivez toute licence d’utilisateur final attribuée aux données existantes, ou les conditions d’utilisation que vous devez respecter.</w:t>
      </w:r>
    </w:p>
    <w:p>
      <w:pPr>
        <w:pStyle w:val="Directives-corps"/>
        <w:rPr>
          <w:lang w:val="fr-CA"/>
        </w:rPr>
      </w:pPr>
      <w:r>
        <w:rPr>
          <w:lang w:val="fr-CA"/>
        </w:rPr>
        <w:t xml:space="preserve">S’il s’agit de données issues de dossiers médicaux, décrivez le processus d’acquisition (ex. à partir de Quanum, partenariat avec l’UnIC, etc.) </w:t>
      </w:r>
    </w:p>
    <w:p>
      <w:pPr>
        <w:pStyle w:val="Directives-corps"/>
        <w:rPr>
          <w:lang w:val="fr-CA"/>
        </w:rPr>
      </w:pPr>
      <w:r>
        <w:rPr>
          <w:lang w:val="fr-CA"/>
        </w:rPr>
        <w:t>S’il s’agit de données d’une banque de données active au CHU Sainte-Justine ou dans un autre établissement du MSSS, indiquez les noms et l’affiliation des personnes responsables de cette banque, la date d’obtention de l’autorisation à utiliser ces données et la forme sous laquelle vous les recevrez (données nominatives, données dépersonnalisées, données anonymisées).</w:t>
      </w:r>
    </w:p>
    <w:p>
      <w:pPr>
        <w:pStyle w:val="Directives-corps"/>
        <w:rPr>
          <w:lang w:val="fr-CA"/>
        </w:rPr>
      </w:pPr>
      <w:r>
        <w:rPr>
          <w:lang w:val="fr-CA"/>
        </w:rPr>
        <w:t>Si vous comptez combiner des données de recherche originales avec des données existantes ou déjà utilisées, décrivez ici le processus d’appariement de façon sommaire.</w:t>
      </w:r>
    </w:p>
    <w:p>
      <w:pPr>
        <w:pStyle w:val="EspaceentreQDirectives"/>
        <w:rPr>
          <w:lang w:val="fr-CA"/>
        </w:rPr>
      </w:pPr>
    </w:p>
    <w:p>
      <w:pPr>
        <w:pStyle w:val="Ress-intitul"/>
        <w:rPr>
          <w:lang w:val="fr-CA"/>
        </w:rPr>
      </w:pPr>
      <w:r>
        <w:rPr>
          <w:lang w:val="fr-CA"/>
        </w:rPr>
        <w:t>Ressources</w:t>
      </w:r>
    </w:p>
    <w:p>
      <w:pPr>
        <w:pStyle w:val="Exemple-corps"/>
        <w:rPr>
          <w:rStyle w:val="Lienhypertexte"/>
          <w:i w:val="0"/>
          <w:iCs w:val="0"/>
          <w:lang w:val="fr-CA"/>
        </w:rPr>
      </w:pPr>
      <w:hyperlink r:id="rId23" w:history="1">
        <w:r>
          <w:rPr>
            <w:rStyle w:val="Lienhypertexte"/>
            <w:lang w:val="fr-CA"/>
          </w:rPr>
          <w:t>Guide sur les solutions de sondage au Centre de recherche Azrieli du CHU Sainte-Justine</w:t>
        </w:r>
      </w:hyperlink>
    </w:p>
    <w:p>
      <w:pPr>
        <w:pStyle w:val="Exemple-corps"/>
        <w:rPr>
          <w:rStyle w:val="Lienhypertexte"/>
          <w:i w:val="0"/>
          <w:iCs w:val="0"/>
          <w:lang w:val="fr-CA"/>
        </w:rPr>
      </w:pPr>
      <w:hyperlink r:id="rId24">
        <w:r>
          <w:rPr>
            <w:rStyle w:val="Lienhypertexte"/>
            <w:lang w:val="fr-CA"/>
          </w:rPr>
          <w:t>Données disponibles à l’Institut de la statistique du Québec (ISQ)</w:t>
        </w:r>
      </w:hyperlink>
    </w:p>
    <w:p>
      <w:pPr>
        <w:pStyle w:val="Exemple-corps"/>
        <w:rPr>
          <w:b/>
          <w:lang w:val="fr-CA"/>
        </w:rPr>
      </w:pPr>
      <w:hyperlink r:id="rId25">
        <w:r>
          <w:rPr>
            <w:rStyle w:val="Lienhypertexte"/>
            <w:lang w:val="fr-CA"/>
          </w:rPr>
          <w:t>Réutiliser des données, pourquoi et comment?</w:t>
        </w:r>
      </w:hyperlink>
      <w:r>
        <w:rPr>
          <w:lang w:val="fr-CA"/>
        </w:rPr>
        <w:t>, un guide de l’Université du Québec à Chicoutimi</w:t>
      </w:r>
    </w:p>
    <w:p>
      <w:pPr>
        <w:pStyle w:val="EspaceentreQDirectives"/>
        <w:rPr>
          <w:lang w:val="fr-CA"/>
        </w:rPr>
      </w:pPr>
    </w:p>
    <w:p>
      <w:pPr>
        <w:pStyle w:val="Exemple-intitul"/>
        <w:rPr>
          <w:lang w:val="fr-CA"/>
        </w:rPr>
      </w:pPr>
      <w:r>
        <w:rPr>
          <w:lang w:val="fr-CA"/>
        </w:rPr>
        <w:t>Exemple</w:t>
      </w:r>
    </w:p>
    <w:p>
      <w:pPr>
        <w:pStyle w:val="Exemple-corps"/>
        <w:rPr>
          <w:lang w:val="fr-CA"/>
        </w:rPr>
      </w:pPr>
      <w:sdt>
        <w:sdtPr>
          <w:id w:val="-1375072637"/>
          <w14:checkbox>
            <w14:checked w14:val="1"/>
            <w14:checkedState w14:val="2612" w14:font="MS Gothic"/>
            <w14:uncheckedState w14:val="2610" w14:font="MS Gothic"/>
          </w14:checkbox>
        </w:sdtPr>
        <w:sdtContent>
          <w:r>
            <w:rPr>
              <w:rFonts w:ascii="MS Gothic" w:hAnsi="MS Gothic" w:hint="eastAsia"/>
            </w:rPr>
            <w:t>☒</w:t>
          </w:r>
        </w:sdtContent>
      </w:sdt>
      <w:r>
        <w:rPr>
          <w:lang w:val="fr-CA"/>
        </w:rPr>
        <w:t xml:space="preserve"> Données originales créées dans le cadre de l’étude</w:t>
      </w:r>
    </w:p>
    <w:p>
      <w:pPr>
        <w:pStyle w:val="Exemple-corps"/>
        <w:rPr>
          <w:lang w:val="fr-CA"/>
        </w:rPr>
      </w:pPr>
      <w:sdt>
        <w:sdtPr>
          <w:id w:val="-929032362"/>
          <w14:checkbox>
            <w14:checked w14:val="1"/>
            <w14:checkedState w14:val="2612" w14:font="MS Gothic"/>
            <w14:uncheckedState w14:val="2610" w14:font="MS Gothic"/>
          </w14:checkbox>
        </w:sdtPr>
        <w:sdtContent>
          <w:r>
            <w:rPr>
              <w:rFonts w:ascii="MS Gothic" w:hAnsi="MS Gothic" w:hint="eastAsia"/>
            </w:rPr>
            <w:t>☒</w:t>
          </w:r>
        </w:sdtContent>
      </w:sdt>
      <w:r>
        <w:rPr>
          <w:lang w:val="fr-CA"/>
        </w:rPr>
        <w:t xml:space="preserve"> Données existantes provenant du dossier médical de l’usager</w:t>
      </w:r>
    </w:p>
    <w:p>
      <w:pPr>
        <w:pStyle w:val="Exemple-corps"/>
        <w:rPr>
          <w:lang w:val="fr-CA"/>
        </w:rPr>
      </w:pPr>
      <w:r>
        <w:rPr>
          <w:lang w:val="fr-CA"/>
        </w:rPr>
        <w:t>Les données utilisées dans cette étude seront acquises par deux moyens complémentaires :</w:t>
      </w:r>
    </w:p>
    <w:p>
      <w:pPr>
        <w:pStyle w:val="Exemple-corps"/>
        <w:rPr>
          <w:lang w:val="fr-CA"/>
        </w:rPr>
      </w:pPr>
      <w:r>
        <w:rPr>
          <w:rFonts w:cs="Arial"/>
          <w:lang w:val="fr-CA"/>
        </w:rPr>
        <w:t>Collecte de données originales : Des entretiens semi-dirigés seront réalisés auprès des participants recrutés dans</w:t>
      </w:r>
      <w:r>
        <w:rPr>
          <w:lang w:val="fr-CA"/>
        </w:rPr>
        <w:t xml:space="preserve"> le cadre de l’étude. Ces entretiens porteront sur leur expérience de soins, leur qualité de vie et leurs perceptions des interventions médicales reçues. Les entretiens seront enregistrés, transcrits, puis codés à l’aide d’un logiciel d’analyse qualitative </w:t>
      </w:r>
      <w:proofErr w:type="spellStart"/>
      <w:r>
        <w:rPr>
          <w:lang w:val="fr-CA"/>
        </w:rPr>
        <w:t>NVivo</w:t>
      </w:r>
      <w:proofErr w:type="spellEnd"/>
      <w:r>
        <w:rPr>
          <w:lang w:val="fr-CA"/>
        </w:rPr>
        <w:t>).</w:t>
      </w:r>
    </w:p>
    <w:p>
      <w:pPr>
        <w:pStyle w:val="Exemple-corps"/>
        <w:rPr>
          <w:lang w:val="fr-CA"/>
        </w:rPr>
      </w:pPr>
      <w:r>
        <w:rPr>
          <w:lang w:val="fr-CA"/>
        </w:rPr>
        <w:t>Données provenant du dossier médical : Des données cliniques seront extraites des dossiers médicaux électroniques des participants, avec leur consentement éclairé. Ces données incluront des informations telles que les diagnostics, les traitements reçus, les résultats de laboratoire, les hospitalisations et les antécédents médicaux pertinents. L’extraction sera effectuée par l’infirmière de recherche dans notre CRF Excel (données tabulaires, .xlsx).</w:t>
      </w:r>
    </w:p>
    <w:p>
      <w:pPr>
        <w:pStyle w:val="Exemple-corps"/>
        <w:rPr>
          <w:lang w:val="fr-CA"/>
        </w:rPr>
      </w:pPr>
      <w:r>
        <w:rPr>
          <w:lang w:val="fr-CA"/>
        </w:rPr>
        <w:t>Les deux sources de données seront ensuite combinées pour permettre une analyse intégrée des trajectoires de soins et des expériences vécues.</w:t>
      </w:r>
    </w:p>
    <w:p/>
    <w:p>
      <w:pPr>
        <w:pStyle w:val="Question-PGD"/>
        <w:rPr>
          <w:lang w:val="fr-CA"/>
        </w:rPr>
      </w:pPr>
      <w:r>
        <w:rPr>
          <w:lang w:val="fr-CA"/>
        </w:rPr>
        <w:lastRenderedPageBreak/>
        <w:t>1.3 Quelles conventions et procédures utiliserez-vous pour structurer, nommer et gérer les versions de vos fichiers pour vous aider et aider les autres à mieux comprendre comment vos données sont organisées?</w:t>
      </w:r>
    </w:p>
    <w:p>
      <w:pPr>
        <w:pStyle w:val="EspaceentreQDirectives"/>
        <w:rPr>
          <w:lang w:val="fr-CA"/>
        </w:rPr>
      </w:pPr>
    </w:p>
    <w:p>
      <w:pPr>
        <w:pStyle w:val="Directives-intitul"/>
        <w:rPr>
          <w:lang w:val="fr-CA"/>
        </w:rPr>
      </w:pPr>
      <w:r>
        <w:rPr>
          <w:lang w:val="fr-CA"/>
        </w:rPr>
        <w:t>Directives</w:t>
      </w:r>
    </w:p>
    <w:p>
      <w:pPr>
        <w:pStyle w:val="Directives-corps"/>
        <w:rPr>
          <w:lang w:val="fr-CA"/>
        </w:rPr>
      </w:pPr>
      <w:r>
        <w:rPr>
          <w:lang w:val="fr-CA"/>
        </w:rPr>
        <w:t>Des structures de fichier logiques, ainsi que des conventions de nommage/versionnage de fichiers claires aident à mieux utiliser vos données pendant et après votre projet de recherche. Ces pratiques permettront à votre équipe de recherche et vous de vous assurer que vous utilisez toujours la version appropriée de vos données, de réduire la confusion concernant les copies multiples enregistrées sur différents espaces de stockage et d’aider l’équipe à mieux structurer les dossiers.</w:t>
      </w:r>
    </w:p>
    <w:p>
      <w:pPr>
        <w:pStyle w:val="Directives-corps"/>
        <w:rPr>
          <w:lang w:val="fr-CA"/>
        </w:rPr>
      </w:pPr>
      <w:r>
        <w:rPr>
          <w:lang w:val="fr-CA"/>
        </w:rPr>
        <w:t>Décrivez les procédures et conventions que votre équipe mettra en œuvre pour assurer l’uniformité du nommage des fichiers, des répertoires de fichiers/hiérarchie des dossiers et du contrôle des versions, notamment en donnant des exemples qui seront utilisés pour cette étude.</w:t>
      </w:r>
    </w:p>
    <w:p>
      <w:pPr>
        <w:pStyle w:val="EspaceentreQDirectives"/>
        <w:rPr>
          <w:lang w:val="fr-CA"/>
        </w:rPr>
      </w:pPr>
    </w:p>
    <w:p>
      <w:pPr>
        <w:pStyle w:val="Ress-intitul"/>
        <w:rPr>
          <w:lang w:val="fr-CA"/>
        </w:rPr>
      </w:pPr>
      <w:r>
        <w:rPr>
          <w:lang w:val="fr-CA"/>
        </w:rPr>
        <w:t>Ressources</w:t>
      </w:r>
    </w:p>
    <w:p>
      <w:pPr>
        <w:pStyle w:val="Exemple-corps"/>
        <w:rPr>
          <w:b/>
          <w:lang w:val="fr-CA"/>
        </w:rPr>
      </w:pPr>
      <w:hyperlink r:id="rId26">
        <w:r>
          <w:rPr>
            <w:rStyle w:val="Lienhypertexte"/>
            <w:lang w:val="fr-CA"/>
          </w:rPr>
          <w:t>Guide de nommage des fichiers numériques du Centre de recherche Azrieli du CHU Sainte-J</w:t>
        </w:r>
      </w:hyperlink>
      <w:r>
        <w:rPr>
          <w:rStyle w:val="Lienhypertexte"/>
          <w:lang w:val="fr-CA"/>
        </w:rPr>
        <w:t>ustine</w:t>
      </w:r>
    </w:p>
    <w:bookmarkStart w:id="6" w:name="_Hlk205286852"/>
    <w:bookmarkStart w:id="7" w:name="_Hlk209537830"/>
    <w:p>
      <w:pPr>
        <w:pStyle w:val="Exemple-corps"/>
        <w:rPr>
          <w:b/>
          <w:lang w:val="fr-CA"/>
        </w:rPr>
      </w:pPr>
      <w:r>
        <w:fldChar w:fldCharType="begin"/>
      </w:r>
      <w:r>
        <w:rPr>
          <w:lang w:val="fr-CA"/>
        </w:rPr>
        <w:instrText xml:space="preserve"> HYPERLINK "https://cours.ebsi.umontreal.ca/sci6005/h2022/co/organisation.html" </w:instrText>
      </w:r>
      <w:r>
        <w:fldChar w:fldCharType="separate"/>
      </w:r>
      <w:r>
        <w:rPr>
          <w:rStyle w:val="Lienhypertexte"/>
          <w:lang w:val="fr-CA"/>
        </w:rPr>
        <w:t>Organisation des fichiers numériques et hiérarchisation des répertoires</w:t>
      </w:r>
      <w:r>
        <w:fldChar w:fldCharType="end"/>
      </w:r>
      <w:r>
        <w:rPr>
          <w:lang w:val="fr-CA"/>
        </w:rPr>
        <w:t>, guide de l’EBSI à l’Université de Montréal</w:t>
      </w:r>
      <w:bookmarkEnd w:id="6"/>
    </w:p>
    <w:bookmarkEnd w:id="7"/>
    <w:p>
      <w:pPr>
        <w:pStyle w:val="Exemple-corps"/>
        <w:rPr>
          <w:b/>
          <w:lang w:val="fr-CA"/>
        </w:rPr>
      </w:pPr>
      <w:r>
        <w:fldChar w:fldCharType="begin"/>
      </w:r>
      <w:r>
        <w:rPr>
          <w:lang w:val="fr-CA"/>
        </w:rPr>
        <w:instrText xml:space="preserve"> HYPERLINK "https://www.uottawa.ca/bibliotheque/gestion-donnees-recherche/designation-fichiers-disposition-donnees" \h </w:instrText>
      </w:r>
      <w:r>
        <w:fldChar w:fldCharType="separate"/>
      </w:r>
      <w:r>
        <w:rPr>
          <w:rStyle w:val="Lienhypertexte"/>
          <w:lang w:val="fr-CA"/>
        </w:rPr>
        <w:t>Nommage de fichiers et gestion de versions</w:t>
      </w:r>
      <w:r>
        <w:rPr>
          <w:rStyle w:val="Lienhypertexte"/>
          <w:lang w:val="fr-CA"/>
        </w:rPr>
        <w:fldChar w:fldCharType="end"/>
      </w:r>
      <w:r>
        <w:rPr>
          <w:lang w:val="fr-CA"/>
        </w:rPr>
        <w:t>, guide des bibliothèques de l’Université d’Ottawa</w:t>
      </w:r>
    </w:p>
    <w:p>
      <w:pPr>
        <w:pStyle w:val="Exemple-corps"/>
        <w:rPr>
          <w:b/>
          <w:lang w:val="fr-CA"/>
        </w:rPr>
      </w:pPr>
      <w:hyperlink r:id="rId27">
        <w:r>
          <w:rPr>
            <w:rStyle w:val="Lienhypertexte"/>
            <w:lang w:val="fr-CA"/>
          </w:rPr>
          <w:t>Nommage des fichiers et des dossiers</w:t>
        </w:r>
      </w:hyperlink>
      <w:r>
        <w:rPr>
          <w:lang w:val="fr-CA"/>
        </w:rPr>
        <w:t>, guide de l’EBSI à l’Université de Montréal</w:t>
      </w:r>
    </w:p>
    <w:bookmarkStart w:id="8" w:name="_Hlk205287002"/>
    <w:bookmarkStart w:id="9" w:name="_Hlk209537925"/>
    <w:p>
      <w:pPr>
        <w:pStyle w:val="Exemple-corps"/>
        <w:rPr>
          <w:b/>
          <w:lang w:val="fr-CA"/>
        </w:rPr>
      </w:pPr>
      <w:r>
        <w:fldChar w:fldCharType="begin"/>
      </w:r>
      <w:r>
        <w:rPr>
          <w:lang w:val="fr-CA"/>
        </w:rPr>
        <w:instrText xml:space="preserve"> HYPERLINK "https://ubc-library-rc.github.io/rdm/content/04_directory_structures.html" </w:instrText>
      </w:r>
      <w:r>
        <w:fldChar w:fldCharType="separate"/>
      </w:r>
      <w:r>
        <w:rPr>
          <w:rStyle w:val="Lienhypertexte"/>
          <w:lang w:val="fr-CA"/>
        </w:rPr>
        <w:t>Organisation des répertoires de fichiers</w:t>
      </w:r>
      <w:r>
        <w:fldChar w:fldCharType="end"/>
      </w:r>
      <w:r>
        <w:rPr>
          <w:lang w:val="fr-CA"/>
        </w:rPr>
        <w:t>, guide de l’Université de la Colombie-Britannique (en anglais seulement)</w:t>
      </w:r>
      <w:bookmarkEnd w:id="8"/>
    </w:p>
    <w:bookmarkEnd w:id="9"/>
    <w:p>
      <w:pPr>
        <w:pStyle w:val="EspaceentreQDirectives"/>
        <w:rPr>
          <w:lang w:val="fr-CA"/>
        </w:rPr>
      </w:pPr>
    </w:p>
    <w:p>
      <w:pPr>
        <w:pStyle w:val="Exemple-intitul"/>
        <w:rPr>
          <w:lang w:val="fr-CA"/>
        </w:rPr>
      </w:pPr>
      <w:r>
        <w:rPr>
          <w:lang w:val="fr-CA"/>
        </w:rPr>
        <w:t>Exemple</w:t>
      </w:r>
    </w:p>
    <w:p>
      <w:pPr>
        <w:pStyle w:val="Exemple-corps"/>
        <w:rPr>
          <w:lang w:val="fr-CA"/>
        </w:rPr>
      </w:pPr>
      <w:r>
        <w:rPr>
          <w:lang w:val="fr-CA"/>
        </w:rPr>
        <w:t>Nous utiliserons la même hiérarchie de dossiers que pour tous les autres projets du laboratoire, assurant ainsi que les membres de l’équipe y seront familiers. Cette structure des répertoires est documentée dans un fichier Word qui se trouve à la racine de la hiérarchie des dossiers et qui est accessible à l’ensemble de l’équipe.</w:t>
      </w:r>
    </w:p>
    <w:p>
      <w:pPr>
        <w:pStyle w:val="Exemple-corps"/>
        <w:rPr>
          <w:lang w:val="fr-CA"/>
        </w:rPr>
      </w:pPr>
      <w:r>
        <w:rPr>
          <w:lang w:val="fr-CA"/>
        </w:rPr>
        <w:t>Les noms des fichiers seront structurés de la façon suivante : Titreduprojet__typededocument_aaaammjj_contenu_AA_v00</w:t>
      </w:r>
    </w:p>
    <w:p>
      <w:pPr>
        <w:pStyle w:val="Exemple-corps"/>
        <w:rPr>
          <w:lang w:val="fr-CA"/>
        </w:rPr>
      </w:pPr>
      <w:r>
        <w:rPr>
          <w:lang w:val="fr-CA"/>
        </w:rPr>
        <w:t>Où AA représente les initiales du membre de l’équipe responsable de sa création et v00 représente la version du fichier.</w:t>
      </w:r>
    </w:p>
    <w:p>
      <w:pPr>
        <w:pStyle w:val="Exemple-corps"/>
      </w:pPr>
      <w:r>
        <w:t>Ex: LEUCAProject_PV_20200418_ethics-meeting_BF_v03.rtf</w:t>
      </w:r>
    </w:p>
    <w:p>
      <w:pPr>
        <w:pStyle w:val="Exemple-corps"/>
      </w:pPr>
      <w:r>
        <w:t>IMProjet_20210105_resultats_SP_v01.txt</w:t>
      </w:r>
    </w:p>
    <w:p>
      <w:pPr>
        <w:rPr>
          <w:rFonts w:eastAsiaTheme="majorEastAsia" w:cs="Arial"/>
          <w:b/>
          <w:bCs/>
          <w:sz w:val="28"/>
          <w:szCs w:val="26"/>
        </w:rPr>
      </w:pPr>
      <w:r>
        <w:br w:type="page"/>
      </w:r>
    </w:p>
    <w:p>
      <w:pPr>
        <w:pStyle w:val="Titre1CRACHUSJ"/>
        <w:numPr>
          <w:ilvl w:val="0"/>
          <w:numId w:val="27"/>
        </w:numPr>
      </w:pPr>
      <w:bookmarkStart w:id="10" w:name="_Toc208419167"/>
      <w:bookmarkStart w:id="11" w:name="_Toc210032664"/>
      <w:r>
        <w:lastRenderedPageBreak/>
        <w:t>Documentation et métadonnées</w:t>
      </w:r>
      <w:bookmarkEnd w:id="10"/>
      <w:bookmarkEnd w:id="11"/>
    </w:p>
    <w:p>
      <w:pPr>
        <w:pStyle w:val="Desc-section"/>
        <w:rPr>
          <w:lang w:val="fr-CA"/>
        </w:rPr>
      </w:pPr>
      <w:r>
        <w:rPr>
          <w:lang w:val="fr-CA"/>
        </w:rPr>
        <w:t>Les données sont rarement explicites, c’est pourquoi toutes les données de recherche doivent être accompagnées de métadonnées (des renseignements qui décrivent les données selon les meilleures pratiques en recherche).</w:t>
      </w:r>
    </w:p>
    <w:p>
      <w:pPr>
        <w:pStyle w:val="Desc-section"/>
        <w:rPr>
          <w:lang w:val="fr-CA"/>
        </w:rPr>
      </w:pPr>
      <w:r>
        <w:rPr>
          <w:lang w:val="fr-CA"/>
        </w:rPr>
        <w:t>Les normes de métadonnées varient d’une discipline à l’autre, mais elles indiquent généralement la personne qui a créé les données, quand et comment elles ont été créées, leur qualité, exactitude et précision ainsi que d’autres caractéristiques nécessaires pour faciliter la découverte, la compréhension et la réutilisation des données. Toute restriction concernant l’utilisation des données doit être expliquée dans les métadonnées et, dans la mesure du possible, des renseignements doivent être fournis sur la façon d’obtenir un accès approuvé aux données.</w:t>
      </w:r>
    </w:p>
    <w:p>
      <w:pPr>
        <w:pStyle w:val="Desc-section"/>
        <w:rPr>
          <w:lang w:val="fr-CA"/>
        </w:rPr>
      </w:pPr>
      <w:r>
        <w:rPr>
          <w:lang w:val="fr-CA"/>
        </w:rPr>
        <w:t>Fournissez des renseignements sur vos données, afin que d’autres puissent mieux comprendre, interpréter et éventuellement réutiliser vos données pour une analyse secondaire.</w:t>
      </w:r>
    </w:p>
    <w:p/>
    <w:p>
      <w:pPr>
        <w:pStyle w:val="Question-PGD"/>
        <w:rPr>
          <w:lang w:val="fr-CA"/>
        </w:rPr>
      </w:pPr>
      <w:r>
        <w:rPr>
          <w:lang w:val="fr-CA"/>
        </w:rPr>
        <w:t>2.1 Quelle documentation sera nécessaire pour que les données soient lues et interprétées correctement à l’avenir?</w:t>
      </w:r>
    </w:p>
    <w:p>
      <w:pPr>
        <w:pStyle w:val="EspaceentreQDirectives"/>
        <w:rPr>
          <w:lang w:val="fr-CA"/>
        </w:rPr>
      </w:pPr>
    </w:p>
    <w:p>
      <w:pPr>
        <w:pStyle w:val="Directives-intitul"/>
        <w:rPr>
          <w:lang w:val="fr-CA"/>
        </w:rPr>
      </w:pPr>
      <w:r>
        <w:rPr>
          <w:lang w:val="fr-CA"/>
        </w:rPr>
        <w:t>Directives</w:t>
      </w:r>
    </w:p>
    <w:p>
      <w:pPr>
        <w:pStyle w:val="Directives-corps"/>
        <w:rPr>
          <w:lang w:val="fr-CA"/>
        </w:rPr>
      </w:pPr>
      <w:r>
        <w:rPr>
          <w:lang w:val="fr-CA"/>
        </w:rPr>
        <w:t>Décrivez les types de documents qui seront créées, leurs formats et la manière dont ils contribueront à l’interprétation juste de vos données.</w:t>
      </w:r>
    </w:p>
    <w:p>
      <w:pPr>
        <w:pStyle w:val="Directives-corps"/>
        <w:rPr>
          <w:lang w:val="fr-CA"/>
        </w:rPr>
      </w:pPr>
      <w:r>
        <w:rPr>
          <w:lang w:val="fr-CA"/>
        </w:rPr>
        <w:t>La documentation de vos données doit inclure toutes les informations pertinentes à la conduite de votre étude, ainsi que les informations requises pour assurer la réutilisabilité et l’interprétabilité de vos données par d’autres chercheurs. Notamment, une bonne documentation comprend les renseignements sur l’étude et son contexte. Il pourrait être pertinent de documenter d’autres éléments, tels que :</w:t>
      </w:r>
    </w:p>
    <w:p>
      <w:pPr>
        <w:pStyle w:val="Directives-corps"/>
        <w:numPr>
          <w:ilvl w:val="0"/>
          <w:numId w:val="22"/>
        </w:numPr>
        <w:rPr>
          <w:lang w:val="fr-CA"/>
        </w:rPr>
      </w:pPr>
      <w:proofErr w:type="gramStart"/>
      <w:r>
        <w:rPr>
          <w:lang w:val="fr-CA"/>
        </w:rPr>
        <w:t>le</w:t>
      </w:r>
      <w:proofErr w:type="gramEnd"/>
      <w:r>
        <w:rPr>
          <w:lang w:val="fr-CA"/>
        </w:rPr>
        <w:t xml:space="preserve"> protocole de votre étude;</w:t>
      </w:r>
    </w:p>
    <w:p>
      <w:pPr>
        <w:pStyle w:val="Directives-corps"/>
        <w:numPr>
          <w:ilvl w:val="0"/>
          <w:numId w:val="22"/>
        </w:numPr>
        <w:rPr>
          <w:lang w:val="fr-CA"/>
        </w:rPr>
      </w:pPr>
      <w:proofErr w:type="gramStart"/>
      <w:r>
        <w:rPr>
          <w:lang w:val="fr-CA"/>
        </w:rPr>
        <w:t>la</w:t>
      </w:r>
      <w:proofErr w:type="gramEnd"/>
      <w:r>
        <w:rPr>
          <w:lang w:val="fr-CA"/>
        </w:rPr>
        <w:t xml:space="preserve"> méthodologie de recherche utilisée;</w:t>
      </w:r>
    </w:p>
    <w:p>
      <w:pPr>
        <w:pStyle w:val="Directives-corps"/>
        <w:numPr>
          <w:ilvl w:val="0"/>
          <w:numId w:val="22"/>
        </w:numPr>
        <w:rPr>
          <w:lang w:val="fr-CA"/>
        </w:rPr>
      </w:pPr>
      <w:proofErr w:type="gramStart"/>
      <w:r>
        <w:rPr>
          <w:lang w:val="fr-CA"/>
        </w:rPr>
        <w:t>le</w:t>
      </w:r>
      <w:proofErr w:type="gramEnd"/>
      <w:r>
        <w:rPr>
          <w:lang w:val="fr-CA"/>
        </w:rPr>
        <w:t xml:space="preserve"> plan de gestion des données de recherche;</w:t>
      </w:r>
    </w:p>
    <w:p>
      <w:pPr>
        <w:pStyle w:val="Directives-corps"/>
        <w:numPr>
          <w:ilvl w:val="0"/>
          <w:numId w:val="22"/>
        </w:numPr>
        <w:rPr>
          <w:lang w:val="fr-CA"/>
        </w:rPr>
      </w:pPr>
      <w:proofErr w:type="gramStart"/>
      <w:r>
        <w:rPr>
          <w:lang w:val="fr-CA"/>
        </w:rPr>
        <w:t>le</w:t>
      </w:r>
      <w:proofErr w:type="gramEnd"/>
      <w:r>
        <w:rPr>
          <w:lang w:val="fr-CA"/>
        </w:rPr>
        <w:t xml:space="preserve"> guide des entretiens;</w:t>
      </w:r>
    </w:p>
    <w:p>
      <w:pPr>
        <w:pStyle w:val="Directives-corps"/>
        <w:numPr>
          <w:ilvl w:val="0"/>
          <w:numId w:val="22"/>
        </w:numPr>
        <w:rPr>
          <w:lang w:val="fr-CA"/>
        </w:rPr>
      </w:pPr>
      <w:proofErr w:type="gramStart"/>
      <w:r>
        <w:rPr>
          <w:lang w:val="fr-CA"/>
        </w:rPr>
        <w:t>les</w:t>
      </w:r>
      <w:proofErr w:type="gramEnd"/>
      <w:r>
        <w:rPr>
          <w:lang w:val="fr-CA"/>
        </w:rPr>
        <w:t xml:space="preserve"> copies des questionnaires vierges;</w:t>
      </w:r>
    </w:p>
    <w:p>
      <w:pPr>
        <w:pStyle w:val="Directives-corps"/>
        <w:numPr>
          <w:ilvl w:val="0"/>
          <w:numId w:val="22"/>
        </w:numPr>
        <w:rPr>
          <w:lang w:val="fr-CA"/>
        </w:rPr>
      </w:pPr>
      <w:proofErr w:type="gramStart"/>
      <w:r>
        <w:rPr>
          <w:lang w:val="fr-CA"/>
        </w:rPr>
        <w:t>les</w:t>
      </w:r>
      <w:proofErr w:type="gramEnd"/>
      <w:r>
        <w:rPr>
          <w:lang w:val="fr-CA"/>
        </w:rPr>
        <w:t xml:space="preserve"> détails des logiciels utilisés;</w:t>
      </w:r>
    </w:p>
    <w:p>
      <w:pPr>
        <w:pStyle w:val="Directives-corps"/>
        <w:numPr>
          <w:ilvl w:val="0"/>
          <w:numId w:val="22"/>
        </w:numPr>
        <w:rPr>
          <w:lang w:val="fr-CA"/>
        </w:rPr>
      </w:pPr>
      <w:proofErr w:type="gramStart"/>
      <w:r>
        <w:rPr>
          <w:lang w:val="fr-CA"/>
        </w:rPr>
        <w:t>les</w:t>
      </w:r>
      <w:proofErr w:type="gramEnd"/>
      <w:r>
        <w:rPr>
          <w:lang w:val="fr-CA"/>
        </w:rPr>
        <w:t xml:space="preserve"> définitions des variables;</w:t>
      </w:r>
    </w:p>
    <w:p>
      <w:pPr>
        <w:pStyle w:val="Directives-corps"/>
        <w:numPr>
          <w:ilvl w:val="0"/>
          <w:numId w:val="22"/>
        </w:numPr>
        <w:rPr>
          <w:lang w:val="fr-CA"/>
        </w:rPr>
      </w:pPr>
      <w:proofErr w:type="gramStart"/>
      <w:r>
        <w:rPr>
          <w:lang w:val="fr-CA"/>
        </w:rPr>
        <w:t>les</w:t>
      </w:r>
      <w:proofErr w:type="gramEnd"/>
      <w:r>
        <w:rPr>
          <w:lang w:val="fr-CA"/>
        </w:rPr>
        <w:t xml:space="preserve"> vocabulaires propres à votre étude;</w:t>
      </w:r>
    </w:p>
    <w:p>
      <w:pPr>
        <w:pStyle w:val="Directives-corps"/>
        <w:numPr>
          <w:ilvl w:val="0"/>
          <w:numId w:val="22"/>
        </w:numPr>
        <w:rPr>
          <w:lang w:val="fr-CA"/>
        </w:rPr>
      </w:pPr>
      <w:proofErr w:type="gramStart"/>
      <w:r>
        <w:rPr>
          <w:lang w:val="fr-CA"/>
        </w:rPr>
        <w:t>les</w:t>
      </w:r>
      <w:proofErr w:type="gramEnd"/>
      <w:r>
        <w:rPr>
          <w:lang w:val="fr-CA"/>
        </w:rPr>
        <w:t xml:space="preserve"> systèmes de classification;</w:t>
      </w:r>
    </w:p>
    <w:p>
      <w:pPr>
        <w:pStyle w:val="Directives-corps"/>
        <w:numPr>
          <w:ilvl w:val="0"/>
          <w:numId w:val="22"/>
        </w:numPr>
        <w:rPr>
          <w:lang w:val="fr-CA"/>
        </w:rPr>
      </w:pPr>
      <w:proofErr w:type="gramStart"/>
      <w:r>
        <w:rPr>
          <w:lang w:val="fr-CA"/>
        </w:rPr>
        <w:t>les</w:t>
      </w:r>
      <w:proofErr w:type="gramEnd"/>
      <w:r>
        <w:rPr>
          <w:lang w:val="fr-CA"/>
        </w:rPr>
        <w:t xml:space="preserve"> unités de mesure;</w:t>
      </w:r>
    </w:p>
    <w:p>
      <w:pPr>
        <w:pStyle w:val="Directives-corps"/>
        <w:numPr>
          <w:ilvl w:val="0"/>
          <w:numId w:val="22"/>
        </w:numPr>
        <w:rPr>
          <w:lang w:val="fr-CA"/>
        </w:rPr>
      </w:pPr>
      <w:proofErr w:type="gramStart"/>
      <w:r>
        <w:rPr>
          <w:lang w:val="fr-CA"/>
        </w:rPr>
        <w:t>les</w:t>
      </w:r>
      <w:proofErr w:type="gramEnd"/>
      <w:r>
        <w:rPr>
          <w:lang w:val="fr-CA"/>
        </w:rPr>
        <w:t xml:space="preserve"> hypothèses formulées;</w:t>
      </w:r>
    </w:p>
    <w:p>
      <w:pPr>
        <w:pStyle w:val="Directives-corps"/>
        <w:numPr>
          <w:ilvl w:val="0"/>
          <w:numId w:val="22"/>
        </w:numPr>
        <w:rPr>
          <w:lang w:val="fr-CA"/>
        </w:rPr>
      </w:pPr>
      <w:proofErr w:type="gramStart"/>
      <w:r>
        <w:rPr>
          <w:lang w:val="fr-CA"/>
        </w:rPr>
        <w:t>l’explication</w:t>
      </w:r>
      <w:proofErr w:type="gramEnd"/>
      <w:r>
        <w:rPr>
          <w:lang w:val="fr-CA"/>
        </w:rPr>
        <w:t xml:space="preserve"> de l’analyse et de la codification des données réalisées (y compris les fichiers de syntaxe);</w:t>
      </w:r>
    </w:p>
    <w:p>
      <w:pPr>
        <w:pStyle w:val="Directives-corps"/>
        <w:numPr>
          <w:ilvl w:val="0"/>
          <w:numId w:val="22"/>
        </w:numPr>
        <w:rPr>
          <w:lang w:val="fr-CA"/>
        </w:rPr>
      </w:pPr>
      <w:proofErr w:type="gramStart"/>
      <w:r>
        <w:rPr>
          <w:lang w:val="fr-CA"/>
        </w:rPr>
        <w:t>les</w:t>
      </w:r>
      <w:proofErr w:type="gramEnd"/>
      <w:r>
        <w:rPr>
          <w:lang w:val="fr-CA"/>
        </w:rPr>
        <w:t xml:space="preserve"> renseignements sur les personnes ayant contribué au projet et les tâches réalisées par chaque contributeur;</w:t>
      </w:r>
    </w:p>
    <w:p>
      <w:pPr>
        <w:pStyle w:val="Directives-corps"/>
        <w:numPr>
          <w:ilvl w:val="0"/>
          <w:numId w:val="22"/>
        </w:numPr>
        <w:rPr>
          <w:lang w:val="fr-CA"/>
        </w:rPr>
      </w:pPr>
      <w:proofErr w:type="gramStart"/>
      <w:r>
        <w:rPr>
          <w:lang w:val="fr-CA"/>
        </w:rPr>
        <w:t>un</w:t>
      </w:r>
      <w:proofErr w:type="gramEnd"/>
      <w:r>
        <w:rPr>
          <w:lang w:val="fr-CA"/>
        </w:rPr>
        <w:t xml:space="preserve"> dictionnaire de données;</w:t>
      </w:r>
    </w:p>
    <w:p>
      <w:pPr>
        <w:pStyle w:val="Directives-corps"/>
        <w:numPr>
          <w:ilvl w:val="0"/>
          <w:numId w:val="22"/>
        </w:numPr>
        <w:rPr>
          <w:lang w:val="fr-CA"/>
        </w:rPr>
      </w:pPr>
      <w:proofErr w:type="gramStart"/>
      <w:r>
        <w:rPr>
          <w:lang w:val="fr-CA"/>
        </w:rPr>
        <w:t>le</w:t>
      </w:r>
      <w:proofErr w:type="gramEnd"/>
      <w:r>
        <w:rPr>
          <w:lang w:val="fr-CA"/>
        </w:rPr>
        <w:t xml:space="preserve"> niveau de sécurité que vos données impliquent.</w:t>
      </w:r>
    </w:p>
    <w:p>
      <w:pPr>
        <w:pStyle w:val="EspaceentreQDirectives"/>
        <w:rPr>
          <w:lang w:val="fr-CA"/>
        </w:rPr>
      </w:pPr>
    </w:p>
    <w:p>
      <w:pPr>
        <w:pStyle w:val="Ress-intitul"/>
        <w:rPr>
          <w:lang w:val="fr-CA"/>
        </w:rPr>
      </w:pPr>
      <w:r>
        <w:rPr>
          <w:lang w:val="fr-CA"/>
        </w:rPr>
        <w:t>Ressources</w:t>
      </w:r>
    </w:p>
    <w:bookmarkStart w:id="12" w:name="_Hlk205287210"/>
    <w:bookmarkStart w:id="13" w:name="_Hlk209538367"/>
    <w:p>
      <w:pPr>
        <w:pStyle w:val="Exemple-corps"/>
        <w:rPr>
          <w:b/>
          <w:lang w:val="fr-CA"/>
        </w:rPr>
      </w:pPr>
      <w:r>
        <w:fldChar w:fldCharType="begin"/>
      </w:r>
      <w:r>
        <w:rPr>
          <w:lang w:val="fr-CA"/>
        </w:rPr>
        <w:instrText xml:space="preserve"> HYPERLINK "https://enseignement.chusj.org/getmedia/b204cbdb-1d1a-42ba-ba63-349df49adaa5/creer_fichier_LISEZMOI.pdf" </w:instrText>
      </w:r>
      <w:r>
        <w:fldChar w:fldCharType="separate"/>
      </w:r>
      <w:r>
        <w:rPr>
          <w:rStyle w:val="Lienhypertexte"/>
          <w:lang w:val="fr-CA"/>
        </w:rPr>
        <w:t>Créez un fichier LISEZMOI pour vos jeux de données</w:t>
      </w:r>
      <w:r>
        <w:fldChar w:fldCharType="end"/>
      </w:r>
      <w:r>
        <w:rPr>
          <w:lang w:val="fr-CA"/>
        </w:rPr>
        <w:t xml:space="preserve">, guide du </w:t>
      </w:r>
      <w:bookmarkEnd w:id="12"/>
      <w:r>
        <w:rPr>
          <w:lang w:val="fr-CA"/>
        </w:rPr>
        <w:t>CHU Sainte-Justine</w:t>
      </w:r>
    </w:p>
    <w:bookmarkEnd w:id="13"/>
    <w:p>
      <w:pPr>
        <w:pStyle w:val="Exemple-corps"/>
        <w:rPr>
          <w:lang w:val="fr-CA"/>
        </w:rPr>
      </w:pPr>
      <w:r>
        <w:fldChar w:fldCharType="begin"/>
      </w:r>
      <w:r>
        <w:rPr>
          <w:lang w:val="fr-CA"/>
        </w:rPr>
        <w:instrText xml:space="preserve"> HYPERLINK "https://data.research.cornell.edu/data-management/sharing/readme/" \h </w:instrText>
      </w:r>
      <w:r>
        <w:fldChar w:fldCharType="separate"/>
      </w:r>
      <w:r>
        <w:rPr>
          <w:rStyle w:val="Lienhypertexte"/>
          <w:lang w:val="fr-CA"/>
        </w:rPr>
        <w:t>Comment rédiger un fichier « </w:t>
      </w:r>
      <w:proofErr w:type="spellStart"/>
      <w:r>
        <w:rPr>
          <w:rStyle w:val="Lienhypertexte"/>
          <w:lang w:val="fr-CA"/>
        </w:rPr>
        <w:t>readme</w:t>
      </w:r>
      <w:proofErr w:type="spellEnd"/>
      <w:r>
        <w:rPr>
          <w:rStyle w:val="Lienhypertexte"/>
          <w:lang w:val="fr-CA"/>
        </w:rPr>
        <w:t> », description des données recueillies et des méthodes de collecte associées</w:t>
      </w:r>
      <w:r>
        <w:rPr>
          <w:rStyle w:val="Lienhypertexte"/>
          <w:lang w:val="fr-CA"/>
        </w:rPr>
        <w:fldChar w:fldCharType="end"/>
      </w:r>
      <w:r>
        <w:rPr>
          <w:lang w:val="fr-CA"/>
        </w:rPr>
        <w:t>, guide de l’Université Cornell (en anglais seulement)</w:t>
      </w:r>
    </w:p>
    <w:p>
      <w:pPr>
        <w:pStyle w:val="Exemple-corps"/>
        <w:rPr>
          <w:lang w:val="fr-CA"/>
        </w:rPr>
      </w:pPr>
      <w:hyperlink r:id="rId28">
        <w:r>
          <w:rPr>
            <w:rStyle w:val="Lienhypertexte"/>
            <w:lang w:val="fr-CA"/>
          </w:rPr>
          <w:t>Modèle de fichier « </w:t>
        </w:r>
        <w:proofErr w:type="spellStart"/>
        <w:r>
          <w:rPr>
            <w:rStyle w:val="Lienhypertexte"/>
            <w:lang w:val="fr-CA"/>
          </w:rPr>
          <w:t>readme</w:t>
        </w:r>
        <w:proofErr w:type="spellEnd"/>
        <w:r>
          <w:rPr>
            <w:rStyle w:val="Lienhypertexte"/>
            <w:lang w:val="fr-CA"/>
          </w:rPr>
          <w:t> »</w:t>
        </w:r>
      </w:hyperlink>
      <w:r>
        <w:rPr>
          <w:lang w:val="fr-CA"/>
        </w:rPr>
        <w:t>, Université du Québec à Trois-Rivières</w:t>
      </w:r>
    </w:p>
    <w:p>
      <w:pPr>
        <w:pStyle w:val="Exemple-corps"/>
        <w:rPr>
          <w:b/>
          <w:lang w:val="fr-CA"/>
        </w:rPr>
      </w:pPr>
      <w:hyperlink r:id="rId29">
        <w:r>
          <w:rPr>
            <w:rStyle w:val="Lienhypertexte"/>
            <w:lang w:val="fr-CA"/>
          </w:rPr>
          <w:t>Comment rédiger un dictionnaire de données</w:t>
        </w:r>
      </w:hyperlink>
      <w:r>
        <w:rPr>
          <w:lang w:val="fr-CA"/>
        </w:rPr>
        <w:t>, guide du Center for Open Science (en anglais seulement)</w:t>
      </w:r>
    </w:p>
    <w:bookmarkStart w:id="14" w:name="_Hlk205287312"/>
    <w:p>
      <w:pPr>
        <w:pStyle w:val="Exemple-corps"/>
        <w:rPr>
          <w:b/>
          <w:lang w:val="fr-CA"/>
        </w:rPr>
      </w:pPr>
      <w:r>
        <w:fldChar w:fldCharType="begin"/>
      </w:r>
      <w:r>
        <w:rPr>
          <w:lang w:val="fr-CA"/>
        </w:rPr>
        <w:instrText xml:space="preserve"> HYPERLINK "https://www.cyber.gouv.qc.ca/services/classification-securite-donnees-numeriques-gouvernementales" </w:instrText>
      </w:r>
      <w:r>
        <w:fldChar w:fldCharType="separate"/>
      </w:r>
      <w:r>
        <w:rPr>
          <w:rStyle w:val="Lienhypertexte"/>
          <w:lang w:val="fr-CA"/>
        </w:rPr>
        <w:t>Classification de sécurité des données numériques gouvernementales</w:t>
      </w:r>
      <w:r>
        <w:fldChar w:fldCharType="end"/>
      </w:r>
      <w:r>
        <w:rPr>
          <w:lang w:val="fr-CA"/>
        </w:rPr>
        <w:t>, ressource du Centre gouvernemental de cyberdéfense du Québec</w:t>
      </w:r>
      <w:bookmarkEnd w:id="14"/>
    </w:p>
    <w:p>
      <w:pPr>
        <w:pStyle w:val="Exemple-corps"/>
        <w:rPr>
          <w:b/>
          <w:lang w:val="fr-CA"/>
        </w:rPr>
      </w:pPr>
      <w:hyperlink r:id="rId30">
        <w:proofErr w:type="spellStart"/>
        <w:r>
          <w:rPr>
            <w:rStyle w:val="Lienhypertexte"/>
            <w:lang w:val="fr-CA"/>
          </w:rPr>
          <w:t>eLabFTW</w:t>
        </w:r>
        <w:proofErr w:type="spellEnd"/>
      </w:hyperlink>
      <w:r>
        <w:rPr>
          <w:lang w:val="fr-CA"/>
        </w:rPr>
        <w:t>, la plateforme de cahier de laboratoire électronique du Centre de recherche Azrieli du CHU Sainte-Justine</w:t>
      </w:r>
    </w:p>
    <w:p>
      <w:pPr>
        <w:pStyle w:val="Exemple-corps"/>
        <w:rPr>
          <w:b/>
          <w:lang w:val="fr-CA"/>
        </w:rPr>
      </w:pPr>
      <w:hyperlink r:id="rId31">
        <w:r>
          <w:rPr>
            <w:rStyle w:val="Lienhypertexte"/>
            <w:lang w:val="fr-CA"/>
          </w:rPr>
          <w:t>Utiliser un cahier de laboratoire numérique</w:t>
        </w:r>
      </w:hyperlink>
      <w:r>
        <w:rPr>
          <w:lang w:val="fr-CA"/>
        </w:rPr>
        <w:t>, un guide de DATACC</w:t>
      </w:r>
    </w:p>
    <w:p>
      <w:pPr>
        <w:pStyle w:val="EspaceentreQDirectives"/>
        <w:rPr>
          <w:lang w:val="fr-CA"/>
        </w:rPr>
      </w:pPr>
    </w:p>
    <w:p>
      <w:pPr>
        <w:pStyle w:val="Exemple-intitul"/>
        <w:rPr>
          <w:lang w:val="fr-CA"/>
        </w:rPr>
      </w:pPr>
      <w:r>
        <w:rPr>
          <w:lang w:val="fr-CA"/>
        </w:rPr>
        <w:t>Exemple</w:t>
      </w:r>
    </w:p>
    <w:p>
      <w:pPr>
        <w:pStyle w:val="Exemple-corps"/>
        <w:rPr>
          <w:lang w:val="fr-CA"/>
        </w:rPr>
      </w:pPr>
      <w:r>
        <w:rPr>
          <w:lang w:val="fr-CA"/>
        </w:rPr>
        <w:t>Voici les documents qui seront créés afin d’assurer la réutilisabilité et l’interopérabilité de nos données.</w:t>
      </w:r>
    </w:p>
    <w:p>
      <w:pPr>
        <w:pStyle w:val="Exemple-corps"/>
        <w:numPr>
          <w:ilvl w:val="0"/>
          <w:numId w:val="23"/>
        </w:numPr>
        <w:rPr>
          <w:lang w:val="fr-CA"/>
        </w:rPr>
      </w:pPr>
      <w:r>
        <w:rPr>
          <w:lang w:val="fr-CA"/>
        </w:rPr>
        <w:t>Document maître de l’étude, contenant le protocole de recherche, les outils de collecte/analyse (nom, numéro de version, etc.), les procédures d’analyses, les hypothèses et un suivi des changements majeurs apportés aux données de l’étude.</w:t>
      </w:r>
    </w:p>
    <w:p>
      <w:pPr>
        <w:pStyle w:val="Exemple-corps"/>
        <w:numPr>
          <w:ilvl w:val="0"/>
          <w:numId w:val="23"/>
        </w:numPr>
        <w:rPr>
          <w:lang w:val="fr-CA"/>
        </w:rPr>
      </w:pPr>
      <w:r>
        <w:rPr>
          <w:lang w:val="fr-CA"/>
        </w:rPr>
        <w:t>Document maître des questionnaires, incluant le guide d’entretien, les questionnaires vierges et les fichiers de syntaxe pour la codification des données collectées.</w:t>
      </w:r>
    </w:p>
    <w:p>
      <w:pPr>
        <w:pStyle w:val="Exemple-corps"/>
        <w:numPr>
          <w:ilvl w:val="0"/>
          <w:numId w:val="23"/>
        </w:numPr>
        <w:rPr>
          <w:lang w:val="fr-CA"/>
        </w:rPr>
      </w:pPr>
      <w:r>
        <w:rPr>
          <w:lang w:val="fr-CA"/>
        </w:rPr>
        <w:t>Dictionnaire de données exporté de REDCap contenant les codes et les variables des questionnaires.</w:t>
      </w:r>
    </w:p>
    <w:p>
      <w:pPr>
        <w:pStyle w:val="Exemple-corps"/>
        <w:numPr>
          <w:ilvl w:val="0"/>
          <w:numId w:val="23"/>
        </w:numPr>
        <w:rPr>
          <w:lang w:val="fr-CA"/>
        </w:rPr>
      </w:pPr>
      <w:r>
        <w:rPr>
          <w:lang w:val="fr-CA"/>
        </w:rPr>
        <w:t xml:space="preserve">Fichiers README.txt contenant la description des données recueillies selon la méthode et le jeu données, ainsi que les fichiers XML (Extensive Markup </w:t>
      </w:r>
      <w:proofErr w:type="spellStart"/>
      <w:r>
        <w:rPr>
          <w:lang w:val="fr-CA"/>
        </w:rPr>
        <w:t>Language</w:t>
      </w:r>
      <w:proofErr w:type="spellEnd"/>
      <w:r>
        <w:rPr>
          <w:lang w:val="fr-CA"/>
        </w:rPr>
        <w:t>) contenant les métadonnées.</w:t>
      </w:r>
    </w:p>
    <w:p>
      <w:pPr>
        <w:pStyle w:val="Exemple-corps"/>
        <w:numPr>
          <w:ilvl w:val="0"/>
          <w:numId w:val="23"/>
        </w:numPr>
        <w:rPr>
          <w:lang w:val="fr-CA"/>
        </w:rPr>
      </w:pPr>
      <w:r>
        <w:rPr>
          <w:lang w:val="fr-CA"/>
        </w:rPr>
        <w:t>Le PGD final, comprenant le suivi des modifications.</w:t>
      </w:r>
    </w:p>
    <w:p/>
    <w:p>
      <w:pPr>
        <w:pStyle w:val="Question-PGD"/>
        <w:rPr>
          <w:lang w:val="fr-CA"/>
        </w:rPr>
      </w:pPr>
      <w:r>
        <w:rPr>
          <w:lang w:val="fr-CA"/>
        </w:rPr>
        <w:t>2.2 Comment ferez-vous en sorte que la documentation soit créée ou saisie de manière cohérente tout au long de votre projet?</w:t>
      </w:r>
    </w:p>
    <w:p>
      <w:pPr>
        <w:pStyle w:val="EspaceentreQDirectives"/>
        <w:rPr>
          <w:lang w:val="fr-CA"/>
        </w:rPr>
      </w:pPr>
    </w:p>
    <w:p>
      <w:pPr>
        <w:pStyle w:val="Directives-intitul"/>
        <w:rPr>
          <w:lang w:val="fr-CA"/>
        </w:rPr>
      </w:pPr>
      <w:r>
        <w:rPr>
          <w:lang w:val="fr-CA"/>
        </w:rPr>
        <w:t>Directives</w:t>
      </w:r>
    </w:p>
    <w:p>
      <w:pPr>
        <w:pStyle w:val="Directives-corps"/>
        <w:rPr>
          <w:lang w:val="fr-CA"/>
        </w:rPr>
      </w:pPr>
      <w:r>
        <w:rPr>
          <w:lang w:val="fr-CA"/>
        </w:rPr>
        <w:t>Prenez en compte la manière dont vous saisirez ces informations, l’emplacement où elles seront enregistrées et les personnes impliquées dans la saisie des données.</w:t>
      </w:r>
    </w:p>
    <w:p>
      <w:pPr>
        <w:pStyle w:val="Directives-corps"/>
        <w:rPr>
          <w:lang w:val="fr-CA"/>
        </w:rPr>
      </w:pPr>
      <w:r>
        <w:rPr>
          <w:lang w:val="fr-CA"/>
        </w:rPr>
        <w:t xml:space="preserve">Idéalement, ces éléments sont réfléchis avant la collecte et l’analyse des données, mais il n’est jamais trop tard pour rectifier les habitudes et mettre en place des </w:t>
      </w:r>
      <w:r>
        <w:rPr>
          <w:b/>
          <w:bCs/>
          <w:lang w:val="fr-CA"/>
        </w:rPr>
        <w:t>pratiques de documentation uniformes</w:t>
      </w:r>
      <w:r>
        <w:rPr>
          <w:lang w:val="fr-CA"/>
        </w:rPr>
        <w:t>.</w:t>
      </w:r>
    </w:p>
    <w:p>
      <w:pPr>
        <w:pStyle w:val="Directives-corps"/>
        <w:rPr>
          <w:lang w:val="fr-CA"/>
        </w:rPr>
      </w:pPr>
      <w:r>
        <w:rPr>
          <w:lang w:val="fr-CA"/>
        </w:rPr>
        <w:t>La collecte des renseignements sur les données doit être une partie intégrante des responsabilités des membres de l’équipe et des opérations. Il est donc recommandé de consulter régulièrement les membres de son équipe de recherche afin de documenter tout changement aux procédures de collecte, de traitement ou d’analyse. Répondez en précisant les personnes responsables de la documentation de vos données, les outils utilisés et les moments ou intervalles auxquels la cohérence de la documentation des données sera vérifiée.</w:t>
      </w:r>
    </w:p>
    <w:p>
      <w:pPr>
        <w:pStyle w:val="EspaceentreQDirectives"/>
        <w:rPr>
          <w:lang w:val="fr-CA"/>
        </w:rPr>
      </w:pPr>
    </w:p>
    <w:p>
      <w:pPr>
        <w:pStyle w:val="Exemple-intitul"/>
        <w:rPr>
          <w:lang w:val="fr-CA"/>
        </w:rPr>
      </w:pPr>
      <w:r>
        <w:rPr>
          <w:lang w:val="fr-CA"/>
        </w:rPr>
        <w:t>Exemple</w:t>
      </w:r>
    </w:p>
    <w:p>
      <w:pPr>
        <w:pStyle w:val="Exemple-corps"/>
        <w:rPr>
          <w:lang w:val="fr-CA"/>
        </w:rPr>
      </w:pPr>
      <w:r>
        <w:rPr>
          <w:lang w:val="fr-CA"/>
        </w:rPr>
        <w:t>Des protocoles de documentation des métadonnées seront établis avant le début de la collecte et rédigés de manière collective. Ces protocoles contiendront les normes, attentes et processus relatifs à la collecte des données. Chaque membre de l’équipe sera impliqué dans la documentation des métadonnées, mais c’est à Jean Lavoie que revient la responsabilité de vérifier l’uniformité de la documentation. Cette vérification se fera mensuellement jusqu’à la fin du projet.</w:t>
      </w:r>
    </w:p>
    <w:p/>
    <w:p>
      <w:pPr>
        <w:pStyle w:val="Question-PGD"/>
        <w:rPr>
          <w:lang w:val="fr-CA"/>
        </w:rPr>
      </w:pPr>
      <w:r>
        <w:rPr>
          <w:lang w:val="fr-CA"/>
        </w:rPr>
        <w:lastRenderedPageBreak/>
        <w:t>2.3 Si vous utilisez une norme de métadonnées ou des outils pour documenter et décrire vos données, veuillez les énumérer ici.</w:t>
      </w:r>
    </w:p>
    <w:p>
      <w:pPr>
        <w:pStyle w:val="EspaceentreQDirectives"/>
        <w:rPr>
          <w:lang w:val="fr-CA"/>
        </w:rPr>
      </w:pPr>
    </w:p>
    <w:p>
      <w:pPr>
        <w:pStyle w:val="Directives-intitul"/>
        <w:rPr>
          <w:lang w:val="fr-CA"/>
        </w:rPr>
      </w:pPr>
      <w:r>
        <w:rPr>
          <w:lang w:val="fr-CA"/>
        </w:rPr>
        <w:t>Directives</w:t>
      </w:r>
    </w:p>
    <w:p>
      <w:pPr>
        <w:pStyle w:val="Directives-corps"/>
        <w:rPr>
          <w:lang w:val="fr-CA"/>
        </w:rPr>
      </w:pPr>
      <w:r>
        <w:rPr>
          <w:lang w:val="fr-CA"/>
        </w:rPr>
        <w:t>En plus des normes de métadonnées générales, il existe plusieurs normes propres à des domaines précis. Les schémas de métadonnées à privilégier sont les schémas standards, ouverts et lisibles par machine. Choisir un schéma qui répond à ces critères assure l’échange efficace d’information entre les utilisateurs et les systèmes.</w:t>
      </w:r>
    </w:p>
    <w:p>
      <w:pPr>
        <w:pStyle w:val="Directives-corps"/>
        <w:rPr>
          <w:lang w:val="fr-CA"/>
        </w:rPr>
      </w:pPr>
      <w:r>
        <w:rPr>
          <w:lang w:val="fr-CA"/>
        </w:rPr>
        <w:t>La documentation de vos données peut également comprendre un vocabulaire contrôlé propre à votre domaine, c’est-à-dire une liste terminologique normalisée pour la description de l’information.</w:t>
      </w:r>
    </w:p>
    <w:p>
      <w:pPr>
        <w:pStyle w:val="Directives-corps"/>
        <w:rPr>
          <w:lang w:val="fr-CA"/>
        </w:rPr>
      </w:pPr>
      <w:r>
        <w:rPr>
          <w:lang w:val="fr-CA"/>
        </w:rPr>
        <w:t>L’utilisation d’un outil informatique pour documenter vos données de recherche peut vous aider entre autres à garder une trace des différentes versions et à rassembler à un même endroit vos notes, vos codes et vos logiciels.</w:t>
      </w:r>
    </w:p>
    <w:p>
      <w:pPr>
        <w:pStyle w:val="Directives-corps"/>
        <w:rPr>
          <w:lang w:val="fr-CA"/>
        </w:rPr>
      </w:pPr>
      <w:r>
        <w:rPr>
          <w:lang w:val="fr-CA"/>
        </w:rPr>
        <w:t>Si vous utilisez un ou des outils pour documenter et décrire vos données (ex. GitHub, OSF, Procols.io, etc.), mentionnez-le.</w:t>
      </w:r>
    </w:p>
    <w:p>
      <w:pPr>
        <w:pStyle w:val="EspaceentreQDirectives"/>
        <w:rPr>
          <w:lang w:val="fr-CA"/>
        </w:rPr>
      </w:pPr>
    </w:p>
    <w:p>
      <w:pPr>
        <w:pStyle w:val="Ress-intitul"/>
        <w:rPr>
          <w:lang w:val="fr-CA"/>
        </w:rPr>
      </w:pPr>
      <w:r>
        <w:rPr>
          <w:lang w:val="fr-CA"/>
        </w:rPr>
        <w:t>Ressources</w:t>
      </w:r>
    </w:p>
    <w:bookmarkStart w:id="15" w:name="_Hlk205287639"/>
    <w:bookmarkStart w:id="16" w:name="_Hlk209538783"/>
    <w:p>
      <w:pPr>
        <w:pStyle w:val="Exemple-corps"/>
        <w:rPr>
          <w:b/>
          <w:lang w:val="fr-CA"/>
        </w:rPr>
      </w:pPr>
      <w:r>
        <w:fldChar w:fldCharType="begin"/>
      </w:r>
      <w:r>
        <w:rPr>
          <w:lang w:val="fr-CA"/>
        </w:rPr>
        <w:instrText xml:space="preserve"> HYPERLINK "https://biblio.uqar.ca/gdr/documenter" </w:instrText>
      </w:r>
      <w:r>
        <w:fldChar w:fldCharType="separate"/>
      </w:r>
      <w:r>
        <w:rPr>
          <w:rStyle w:val="Lienhypertexte"/>
          <w:lang w:val="fr-CA"/>
        </w:rPr>
        <w:t>Documenter ses données</w:t>
      </w:r>
      <w:r>
        <w:fldChar w:fldCharType="end"/>
      </w:r>
      <w:r>
        <w:rPr>
          <w:lang w:val="fr-CA"/>
        </w:rPr>
        <w:t>, un guide des bibliothèques de l'Université du Québec à Rimouski</w:t>
      </w:r>
    </w:p>
    <w:p>
      <w:pPr>
        <w:pStyle w:val="Exemple-corps"/>
        <w:rPr>
          <w:b/>
          <w:lang w:val="fr-CA"/>
        </w:rPr>
      </w:pPr>
      <w:hyperlink r:id="rId32" w:history="1">
        <w:r>
          <w:rPr>
            <w:rStyle w:val="Lienhypertexte"/>
            <w:lang w:val="fr-CA"/>
          </w:rPr>
          <w:t>Documenter et décrire ses données de recherche</w:t>
        </w:r>
      </w:hyperlink>
      <w:r>
        <w:rPr>
          <w:lang w:val="fr-CA"/>
        </w:rPr>
        <w:t>, un guide des bibliothèques de l'Université de la Colombie-Britannique (en anglais seulement)</w:t>
      </w:r>
      <w:bookmarkEnd w:id="15"/>
    </w:p>
    <w:bookmarkEnd w:id="16"/>
    <w:p>
      <w:pPr>
        <w:pStyle w:val="Exemple-corps"/>
        <w:rPr>
          <w:b/>
          <w:lang w:val="fr-CA"/>
        </w:rPr>
      </w:pPr>
      <w:r>
        <w:fldChar w:fldCharType="begin"/>
      </w:r>
      <w:r>
        <w:rPr>
          <w:lang w:val="fr-CA"/>
        </w:rPr>
        <w:instrText xml:space="preserve"> HYPERLINK "https://ukdataservice.ac.uk/learning-hub/research-data-management/document-your-data/metadata/" \h </w:instrText>
      </w:r>
      <w:r>
        <w:fldChar w:fldCharType="separate"/>
      </w:r>
      <w:r>
        <w:rPr>
          <w:rStyle w:val="Lienhypertexte"/>
          <w:lang w:val="fr-CA"/>
        </w:rPr>
        <w:t>Les métadonnées</w:t>
      </w:r>
      <w:r>
        <w:rPr>
          <w:rStyle w:val="Lienhypertexte"/>
          <w:lang w:val="fr-CA"/>
        </w:rPr>
        <w:fldChar w:fldCharType="end"/>
      </w:r>
      <w:r>
        <w:rPr>
          <w:lang w:val="fr-CA"/>
        </w:rPr>
        <w:t>, guide du UK Data Service (en anglais seulement)</w:t>
      </w:r>
    </w:p>
    <w:p>
      <w:pPr>
        <w:pStyle w:val="EspaceentreQDirectives"/>
        <w:rPr>
          <w:lang w:val="fr-CA"/>
        </w:rPr>
      </w:pPr>
    </w:p>
    <w:p>
      <w:pPr>
        <w:pStyle w:val="Exemple-intitul"/>
        <w:rPr>
          <w:lang w:val="fr-CA"/>
        </w:rPr>
      </w:pPr>
      <w:r>
        <w:rPr>
          <w:lang w:val="fr-CA"/>
        </w:rPr>
        <w:t>Exemple</w:t>
      </w:r>
    </w:p>
    <w:p>
      <w:pPr>
        <w:pStyle w:val="Exemple-corps"/>
        <w:rPr>
          <w:lang w:val="fr-CA"/>
        </w:rPr>
      </w:pPr>
      <w:r>
        <w:rPr>
          <w:lang w:val="fr-CA"/>
        </w:rPr>
        <w:t xml:space="preserve">Nous utiliserons la norme </w:t>
      </w:r>
      <w:hyperlink r:id="rId33">
        <w:r>
          <w:rPr>
            <w:rStyle w:val="Lienhypertexte"/>
            <w:bCs/>
            <w:lang w:val="fr-CA"/>
          </w:rPr>
          <w:t>BIDS</w:t>
        </w:r>
      </w:hyperlink>
      <w:r>
        <w:rPr>
          <w:lang w:val="fr-CA"/>
        </w:rPr>
        <w:t xml:space="preserve"> (Brain Imaging Data Structure) pour structurer et nommer nos données de neuro-imagerie. Ce faisant, les données provenant des scans seront converties en format JSON, organisées selon le schéma de répertoire BIDS.</w:t>
      </w:r>
    </w:p>
    <w:p>
      <w:pPr>
        <w:pStyle w:val="Exemple-corps"/>
        <w:rPr>
          <w:lang w:val="fr-CA"/>
        </w:rPr>
      </w:pPr>
      <w:r>
        <w:rPr>
          <w:lang w:val="fr-CA"/>
        </w:rPr>
        <w:t>Les termes MeSH seront privilégiés pour normaliser la description de l’information.</w:t>
      </w:r>
    </w:p>
    <w:p>
      <w:pPr>
        <w:rPr>
          <w:rFonts w:eastAsiaTheme="majorEastAsia" w:cs="Arial"/>
          <w:b/>
          <w:bCs/>
          <w:sz w:val="28"/>
          <w:szCs w:val="26"/>
        </w:rPr>
      </w:pPr>
      <w:r>
        <w:br w:type="page"/>
      </w:r>
    </w:p>
    <w:p>
      <w:pPr>
        <w:pStyle w:val="Titre1CRACHUSJ"/>
        <w:numPr>
          <w:ilvl w:val="0"/>
          <w:numId w:val="27"/>
        </w:numPr>
      </w:pPr>
      <w:bookmarkStart w:id="17" w:name="_Toc208419168"/>
      <w:bookmarkStart w:id="18" w:name="_Toc210032665"/>
      <w:r>
        <w:lastRenderedPageBreak/>
        <w:t>Stockage et sauvegarde</w:t>
      </w:r>
      <w:bookmarkEnd w:id="17"/>
      <w:bookmarkEnd w:id="18"/>
    </w:p>
    <w:p>
      <w:pPr>
        <w:pStyle w:val="Desc-section"/>
        <w:rPr>
          <w:lang w:val="fr-CA"/>
        </w:rPr>
      </w:pPr>
      <w:r>
        <w:rPr>
          <w:lang w:val="fr-CA"/>
        </w:rPr>
        <w:t>La sécurité et l’intégrité de vos données reposent sur la planification de la manière dont vos données de recherche seront stockées et sauvegardées pendant et après votre projet de recherche. Le stockage et la sauvegarde appropriés contribuent non seulement à protéger les données de recherche des pertes catastrophiques (en raison de défaillances du logiciel et du matériel, de virus, de pirates informatiques, de catastrophes naturelles, d’erreurs humaines, etc.), mais y facilitent également l’accès approprié par les chercheurs.</w:t>
      </w:r>
    </w:p>
    <w:p>
      <w:pPr>
        <w:pStyle w:val="Desc-section"/>
        <w:rPr>
          <w:lang w:val="fr-CA"/>
        </w:rPr>
      </w:pPr>
      <w:r>
        <w:rPr>
          <w:lang w:val="fr-CA"/>
        </w:rPr>
        <w:t xml:space="preserve">Cette section ne concerne que les données </w:t>
      </w:r>
      <w:r>
        <w:rPr>
          <w:b/>
          <w:bCs/>
          <w:lang w:val="fr-CA"/>
        </w:rPr>
        <w:t xml:space="preserve">actives </w:t>
      </w:r>
      <w:r>
        <w:rPr>
          <w:lang w:val="fr-CA"/>
        </w:rPr>
        <w:t xml:space="preserve">(en cours de projet). Pour la conservation à long terme, voir la section </w:t>
      </w:r>
      <w:r>
        <w:rPr>
          <w:b/>
          <w:bCs/>
          <w:lang w:val="fr-CA"/>
        </w:rPr>
        <w:t>Préservation</w:t>
      </w:r>
      <w:r>
        <w:rPr>
          <w:lang w:val="fr-CA"/>
        </w:rPr>
        <w:t>.</w:t>
      </w:r>
    </w:p>
    <w:p/>
    <w:p>
      <w:pPr>
        <w:pStyle w:val="Question-PGD"/>
        <w:rPr>
          <w:lang w:val="fr-CA"/>
        </w:rPr>
      </w:pPr>
      <w:r>
        <w:rPr>
          <w:lang w:val="fr-CA"/>
        </w:rPr>
        <w:t>3.1 Quels sont les besoins prévus en matière de stockage pour votre projet (en mégaoctets, giga-octets, téraoctets, etc.)?</w:t>
      </w:r>
    </w:p>
    <w:p>
      <w:pPr>
        <w:pStyle w:val="EspaceentreQDirectives"/>
        <w:rPr>
          <w:lang w:val="fr-CA"/>
        </w:rPr>
      </w:pPr>
    </w:p>
    <w:p>
      <w:pPr>
        <w:pStyle w:val="Directives-intitul"/>
        <w:rPr>
          <w:lang w:val="fr-CA"/>
        </w:rPr>
      </w:pPr>
      <w:r>
        <w:rPr>
          <w:lang w:val="fr-CA"/>
        </w:rPr>
        <w:t>Directives</w:t>
      </w:r>
    </w:p>
    <w:p>
      <w:pPr>
        <w:pStyle w:val="Directives-corps"/>
        <w:rPr>
          <w:lang w:val="fr-CA"/>
        </w:rPr>
      </w:pPr>
      <w:r>
        <w:rPr>
          <w:lang w:val="fr-CA"/>
        </w:rPr>
        <w:t>L’estimation de la taille des données que vous allez produire est au cœur de votre stratégie en matière de sauvegarde et de stockage. Votre estimation concernant l’espace de stockage requis doit prendre en considération les exigences pour le versionnage de fichiers, les formats des données, les sauvegardes et la croissance du nombre de fichiers au fil du temps.</w:t>
      </w:r>
    </w:p>
    <w:p>
      <w:pPr>
        <w:pStyle w:val="EspaceentreQDirectives"/>
        <w:rPr>
          <w:lang w:val="fr-CA"/>
        </w:rPr>
      </w:pPr>
    </w:p>
    <w:p>
      <w:pPr>
        <w:pStyle w:val="Exemple-intitul"/>
        <w:rPr>
          <w:lang w:val="fr-CA"/>
        </w:rPr>
      </w:pPr>
      <w:r>
        <w:rPr>
          <w:lang w:val="fr-CA"/>
        </w:rPr>
        <w:t>Exemple</w:t>
      </w:r>
    </w:p>
    <w:p>
      <w:pPr>
        <w:pStyle w:val="Exemple-corps"/>
        <w:rPr>
          <w:lang w:val="fr-CA"/>
        </w:rPr>
      </w:pPr>
      <w:r>
        <w:rPr>
          <w:lang w:val="fr-CA"/>
        </w:rPr>
        <w:t>Nous estimons que nous produirons environ 200 sondages, 50 entrevues (de 30 à 40 minutes chacune, qualité audio de 128 kb/s) et environ 300 fichiers textes.</w:t>
      </w:r>
    </w:p>
    <w:p>
      <w:pPr>
        <w:pStyle w:val="Exemple-corps"/>
        <w:rPr>
          <w:lang w:val="fr-CA"/>
        </w:rPr>
      </w:pPr>
      <w:r>
        <w:rPr>
          <w:lang w:val="fr-CA"/>
        </w:rPr>
        <w:t>La taille totale des données, en tenant compte des versions (brutes, maîtresses, analytiques), est estimée à moins de 125 Go.</w:t>
      </w:r>
    </w:p>
    <w:p/>
    <w:p>
      <w:pPr>
        <w:pStyle w:val="Question-PGD"/>
        <w:rPr>
          <w:lang w:val="fr-CA"/>
        </w:rPr>
      </w:pPr>
      <w:r>
        <w:rPr>
          <w:lang w:val="fr-CA"/>
        </w:rPr>
        <w:t>3.2 De quelle manière et à quel endroit vos données seront-elles stockées et sauvegardées pendant votre projet de recherche?</w:t>
      </w:r>
    </w:p>
    <w:p>
      <w:pPr>
        <w:pStyle w:val="EspaceentreQDirectives"/>
        <w:rPr>
          <w:lang w:val="fr-CA"/>
        </w:rPr>
      </w:pPr>
    </w:p>
    <w:p>
      <w:pPr>
        <w:pStyle w:val="Directives-intitul"/>
        <w:rPr>
          <w:lang w:val="fr-CA"/>
        </w:rPr>
      </w:pPr>
      <w:r>
        <w:rPr>
          <w:lang w:val="fr-CA"/>
        </w:rPr>
        <w:t>Directives</w:t>
      </w:r>
    </w:p>
    <w:p>
      <w:pPr>
        <w:pStyle w:val="Directives-corps"/>
        <w:rPr>
          <w:lang w:val="fr-CA"/>
        </w:rPr>
      </w:pPr>
      <w:r>
        <w:rPr>
          <w:lang w:val="fr-CA"/>
        </w:rPr>
        <w:t>Le risque de perdre des données en raison d’une erreur humaine, de catastrophes naturelles ou d’autres mésaventures peut être atténuées en respectant la règle du 3-2-1 :</w:t>
      </w:r>
    </w:p>
    <w:p>
      <w:pPr>
        <w:pStyle w:val="Directives-corps"/>
        <w:numPr>
          <w:ilvl w:val="0"/>
          <w:numId w:val="24"/>
        </w:numPr>
        <w:rPr>
          <w:lang w:val="fr-CA"/>
        </w:rPr>
      </w:pPr>
      <w:r>
        <w:rPr>
          <w:lang w:val="fr-CA"/>
        </w:rPr>
        <w:t xml:space="preserve">Posséder au moins </w:t>
      </w:r>
      <w:r>
        <w:rPr>
          <w:b/>
          <w:bCs/>
          <w:lang w:val="fr-CA"/>
        </w:rPr>
        <w:t xml:space="preserve">3 </w:t>
      </w:r>
      <w:r>
        <w:rPr>
          <w:lang w:val="fr-CA"/>
        </w:rPr>
        <w:t>copies de vos données.</w:t>
      </w:r>
    </w:p>
    <w:p>
      <w:pPr>
        <w:pStyle w:val="Directives-corps"/>
        <w:numPr>
          <w:ilvl w:val="0"/>
          <w:numId w:val="24"/>
        </w:numPr>
        <w:rPr>
          <w:lang w:val="fr-CA"/>
        </w:rPr>
      </w:pPr>
      <w:r>
        <w:rPr>
          <w:lang w:val="fr-CA"/>
        </w:rPr>
        <w:t xml:space="preserve">Stocker les copies sur </w:t>
      </w:r>
      <w:r>
        <w:rPr>
          <w:b/>
          <w:bCs/>
          <w:lang w:val="fr-CA"/>
        </w:rPr>
        <w:t>2</w:t>
      </w:r>
      <w:r>
        <w:rPr>
          <w:lang w:val="fr-CA"/>
        </w:rPr>
        <w:t xml:space="preserve"> types de médias différents.</w:t>
      </w:r>
    </w:p>
    <w:p>
      <w:pPr>
        <w:pStyle w:val="Directives-corps"/>
        <w:numPr>
          <w:ilvl w:val="0"/>
          <w:numId w:val="24"/>
        </w:numPr>
        <w:rPr>
          <w:lang w:val="fr-CA"/>
        </w:rPr>
      </w:pPr>
      <w:r>
        <w:rPr>
          <w:lang w:val="fr-CA"/>
        </w:rPr>
        <w:t xml:space="preserve">Conserver </w:t>
      </w:r>
      <w:r>
        <w:rPr>
          <w:b/>
          <w:bCs/>
          <w:lang w:val="fr-CA"/>
        </w:rPr>
        <w:t>1</w:t>
      </w:r>
      <w:r>
        <w:rPr>
          <w:lang w:val="fr-CA"/>
        </w:rPr>
        <w:t xml:space="preserve"> copie de sauvegarde hors site.</w:t>
      </w:r>
    </w:p>
    <w:p>
      <w:pPr>
        <w:pStyle w:val="Directives-corps"/>
        <w:rPr>
          <w:lang w:val="fr-CA"/>
        </w:rPr>
      </w:pPr>
      <w:r>
        <w:rPr>
          <w:lang w:val="fr-CA"/>
        </w:rPr>
        <w:t>La règle des 3-2-1 est évidemment un idéal difficile à atteindre, considérez-la donc comme une étoile polaire qui guide vos décisions lors de la sélection d’outils de stockage. Il est crucial d’éviter les médias amovibles (clés USB, disques durs externes, CD, etc.) ou les médias analogues (bandes magnétiques, cahiers de laboratoire papiers, cassettes audios, etc.), car ils sont sujets à des risques de bris/dégradation/perte/corruption et des limites de stockage qui en font des mauvais choix pour le stockage primaire ou les sauvegardes de sécurité. Privilégiez les médias en réseau (lecteurs en réseau ou serveurs basés sur l’infonuagique) tels que le P: et les instances SSSS de OneDrive et SharePoint/Teams (ces options assurent une sauvegarde régulière). Les médias fixes (lecteurs de disques durs d’ordinateur de bureau ou d’ordinateur portatif) ne doivent être utilisés qu’en combinaison avec des médias en réseau, pour éviter toute perte de données dues à un bris/vol.</w:t>
      </w:r>
    </w:p>
    <w:p>
      <w:pPr>
        <w:pStyle w:val="Directives-corps"/>
        <w:rPr>
          <w:lang w:val="fr-CA"/>
        </w:rPr>
      </w:pPr>
      <w:r>
        <w:rPr>
          <w:lang w:val="fr-CA"/>
        </w:rPr>
        <w:lastRenderedPageBreak/>
        <w:t>Chaque méthode de stockage comporte des avantages et des inconvénients qui doivent être pris en considération au moment de déterminer la solution la plus appropriée aux particularités de votre projet de recherche.</w:t>
      </w:r>
    </w:p>
    <w:p>
      <w:pPr>
        <w:pStyle w:val="Directives-corps"/>
        <w:rPr>
          <w:lang w:val="fr-CA"/>
        </w:rPr>
      </w:pPr>
      <w:r>
        <w:rPr>
          <w:lang w:val="fr-CA"/>
        </w:rPr>
        <w:t>Décrivez, le plus précisément possible, les appareils/plateformes sur lesquels vos données seront stockées. Comment les endroits de stockage sélectionnés assurent-ils la sécurité de vos données? Qui y aura accès?</w:t>
      </w:r>
    </w:p>
    <w:p>
      <w:pPr>
        <w:pStyle w:val="Directives-corps"/>
        <w:rPr>
          <w:lang w:val="fr-CA"/>
        </w:rPr>
      </w:pPr>
      <w:r>
        <w:rPr>
          <w:lang w:val="fr-CA"/>
        </w:rPr>
        <w:t xml:space="preserve">Si vous disposez de </w:t>
      </w:r>
      <w:r>
        <w:rPr>
          <w:b/>
          <w:bCs/>
          <w:lang w:val="fr-CA"/>
        </w:rPr>
        <w:t>copies papiers</w:t>
      </w:r>
      <w:r>
        <w:rPr>
          <w:lang w:val="fr-CA"/>
        </w:rPr>
        <w:t xml:space="preserve"> de vos données, mentionnez l’endroit où elles seront entreposées et les mesures que vous prendrez pour garantir leur sécurité.</w:t>
      </w:r>
    </w:p>
    <w:p>
      <w:pPr>
        <w:pStyle w:val="EspaceentreQDirectives"/>
        <w:rPr>
          <w:lang w:val="fr-CA"/>
        </w:rPr>
      </w:pPr>
    </w:p>
    <w:p>
      <w:pPr>
        <w:pStyle w:val="Ress-intitul"/>
        <w:rPr>
          <w:lang w:val="fr-CA"/>
        </w:rPr>
      </w:pPr>
      <w:r>
        <w:rPr>
          <w:lang w:val="fr-CA"/>
        </w:rPr>
        <w:t>Ressources</w:t>
      </w:r>
    </w:p>
    <w:bookmarkStart w:id="19" w:name="_Hlk209538995"/>
    <w:p>
      <w:pPr>
        <w:pStyle w:val="Exemple-corps"/>
        <w:rPr>
          <w:b/>
          <w:lang w:val="fr-CA"/>
        </w:rPr>
      </w:pPr>
      <w:r>
        <w:fldChar w:fldCharType="begin"/>
      </w:r>
      <w:r>
        <w:rPr>
          <w:lang w:val="fr-CA"/>
        </w:rPr>
        <w:instrText xml:space="preserve"> HYPERLINK "https://enseignement.chusj.org/getmedia/20d9dc77-b421-4659-85ab-d20c2fbba966/GUI_gdr_stockage_donnees_v02_1.pdf" </w:instrText>
      </w:r>
      <w:r>
        <w:fldChar w:fldCharType="separate"/>
      </w:r>
      <w:r>
        <w:rPr>
          <w:rStyle w:val="Lienhypertexte"/>
          <w:lang w:val="fr-CA"/>
        </w:rPr>
        <w:t>Solutions de stockage au Centre de recherche Azrieli du CHU Sainte-Justine</w:t>
      </w:r>
      <w:r>
        <w:fldChar w:fldCharType="end"/>
      </w:r>
    </w:p>
    <w:bookmarkEnd w:id="19"/>
    <w:p>
      <w:pPr>
        <w:pStyle w:val="EspaceentreQDirectives"/>
        <w:rPr>
          <w:lang w:val="fr-CA"/>
        </w:rPr>
      </w:pPr>
    </w:p>
    <w:p>
      <w:pPr>
        <w:pStyle w:val="Exemple-intitul"/>
        <w:rPr>
          <w:lang w:val="fr-CA"/>
        </w:rPr>
      </w:pPr>
      <w:r>
        <w:rPr>
          <w:lang w:val="fr-CA"/>
        </w:rPr>
        <w:t>Exemple</w:t>
      </w:r>
    </w:p>
    <w:p>
      <w:pPr>
        <w:pStyle w:val="Exemple-corps"/>
        <w:rPr>
          <w:lang w:val="fr-CA"/>
        </w:rPr>
      </w:pPr>
      <w:r>
        <w:rPr>
          <w:lang w:val="fr-CA"/>
        </w:rPr>
        <w:t>Les données de recherche seront recueillies par les membres de l’équipe et stockées sur l’espace MSSS SharePoint de l’équipe. La clé du code sera conservée séparément dans un dossier accessible uniquement par le chercheur principal, dans un fichier protégé par mot de passe.</w:t>
      </w:r>
    </w:p>
    <w:p/>
    <w:p>
      <w:pPr>
        <w:pStyle w:val="Question-PGD"/>
        <w:rPr>
          <w:lang w:val="fr-CA"/>
        </w:rPr>
      </w:pPr>
      <w:r>
        <w:rPr>
          <w:lang w:val="fr-CA"/>
        </w:rPr>
        <w:t>3.3 De quelle manière l’équipe de recherche et les autres collaborateurs vont-ils accéder aux données, les modifier et y contribuer tout au long du projet?</w:t>
      </w:r>
    </w:p>
    <w:p>
      <w:pPr>
        <w:pStyle w:val="EspaceentreQDirectives"/>
        <w:rPr>
          <w:lang w:val="fr-CA"/>
        </w:rPr>
      </w:pPr>
    </w:p>
    <w:p>
      <w:pPr>
        <w:pStyle w:val="Directives-intitul"/>
        <w:rPr>
          <w:lang w:val="fr-CA"/>
        </w:rPr>
      </w:pPr>
      <w:r>
        <w:rPr>
          <w:lang w:val="fr-CA"/>
        </w:rPr>
        <w:t>Directives</w:t>
      </w:r>
    </w:p>
    <w:p>
      <w:pPr>
        <w:pStyle w:val="Directives-corps"/>
        <w:rPr>
          <w:lang w:val="fr-CA"/>
        </w:rPr>
      </w:pPr>
      <w:r>
        <w:rPr>
          <w:lang w:val="fr-CA"/>
        </w:rPr>
        <w:t>La solution idéale répond aux critères suivants :</w:t>
      </w:r>
    </w:p>
    <w:p>
      <w:pPr>
        <w:pStyle w:val="Directives-corps"/>
        <w:numPr>
          <w:ilvl w:val="0"/>
          <w:numId w:val="25"/>
        </w:numPr>
        <w:rPr>
          <w:lang w:val="fr-CA"/>
        </w:rPr>
      </w:pPr>
      <w:r>
        <w:rPr>
          <w:lang w:val="fr-CA"/>
        </w:rPr>
        <w:t>Facilite la collaboration;</w:t>
      </w:r>
    </w:p>
    <w:p>
      <w:pPr>
        <w:pStyle w:val="Directives-corps"/>
        <w:numPr>
          <w:ilvl w:val="0"/>
          <w:numId w:val="25"/>
        </w:numPr>
        <w:rPr>
          <w:lang w:val="fr-CA"/>
        </w:rPr>
      </w:pPr>
      <w:r>
        <w:rPr>
          <w:lang w:val="fr-CA"/>
        </w:rPr>
        <w:t>Assure la sécurité des données;</w:t>
      </w:r>
    </w:p>
    <w:p>
      <w:pPr>
        <w:pStyle w:val="Directives-corps"/>
        <w:numPr>
          <w:ilvl w:val="0"/>
          <w:numId w:val="25"/>
        </w:numPr>
        <w:rPr>
          <w:lang w:val="fr-CA"/>
        </w:rPr>
      </w:pPr>
      <w:r>
        <w:rPr>
          <w:lang w:val="fr-CA"/>
        </w:rPr>
        <w:t>Requiert une formation minimale.</w:t>
      </w:r>
    </w:p>
    <w:p>
      <w:pPr>
        <w:pStyle w:val="Directives-corps"/>
        <w:rPr>
          <w:lang w:val="fr-CA"/>
        </w:rPr>
      </w:pPr>
      <w:r>
        <w:rPr>
          <w:lang w:val="fr-CA"/>
        </w:rPr>
        <w:t>Décrivez les groupes d’utilisateurs et les accès qui leurs seront accordés. Décrivez également les mesures de sécurité associées à la plateforme de partage de données et de collaboration de votre choix. Le transfert de fichiers par courrier électronique n’est pas une solution robuste ou sécuritaire sauf si fait entre deux courriels institutionnels sécurisés. De même, les services de partage de fichiers commerciaux (comme Google Drive et Dropbox) facilitent l’échange de fichiers, mais ne représentent pas une solution permanente, sécuritaire ou conforme aux exigences en matière d’hébergement en sol canadien.</w:t>
      </w:r>
    </w:p>
    <w:p>
      <w:pPr>
        <w:pStyle w:val="EspaceentreQDirectives"/>
        <w:rPr>
          <w:lang w:val="fr-CA"/>
        </w:rPr>
      </w:pPr>
    </w:p>
    <w:p>
      <w:pPr>
        <w:pStyle w:val="Exemple-intitul"/>
        <w:rPr>
          <w:lang w:val="fr-CA"/>
        </w:rPr>
      </w:pPr>
      <w:r>
        <w:rPr>
          <w:lang w:val="fr-CA"/>
        </w:rPr>
        <w:t>Exemple</w:t>
      </w:r>
    </w:p>
    <w:p>
      <w:pPr>
        <w:pStyle w:val="Exemple-corps"/>
        <w:rPr>
          <w:lang w:val="fr-CA"/>
        </w:rPr>
      </w:pPr>
      <w:r>
        <w:rPr>
          <w:lang w:val="fr-CA"/>
        </w:rPr>
        <w:t>Chaque membre de l’équipe de recherche (chercheurs, stagiaires et membres du personnel autorisés) détient un compte Microsoft MSSS. L’accès à notre espace d’équipe SharePoint est attribué par le chercheur principal. Cet accès permet de visualiser et d’éditer les données, sauf pour le dossier où se situera la clé du code.</w:t>
      </w:r>
    </w:p>
    <w:p>
      <w:pPr>
        <w:rPr>
          <w:rFonts w:eastAsiaTheme="majorEastAsia" w:cs="Arial"/>
          <w:b/>
          <w:bCs/>
          <w:sz w:val="28"/>
          <w:szCs w:val="26"/>
        </w:rPr>
      </w:pPr>
      <w:r>
        <w:br w:type="page"/>
      </w:r>
    </w:p>
    <w:p>
      <w:pPr>
        <w:pStyle w:val="Titre1CRACHUSJ"/>
        <w:numPr>
          <w:ilvl w:val="0"/>
          <w:numId w:val="27"/>
        </w:numPr>
      </w:pPr>
      <w:bookmarkStart w:id="20" w:name="_Toc208419169"/>
      <w:bookmarkStart w:id="21" w:name="_Toc210032666"/>
      <w:r>
        <w:lastRenderedPageBreak/>
        <w:t>Préservation</w:t>
      </w:r>
      <w:bookmarkEnd w:id="20"/>
      <w:bookmarkEnd w:id="21"/>
    </w:p>
    <w:p>
      <w:pPr>
        <w:pStyle w:val="Desc-section"/>
        <w:rPr>
          <w:lang w:val="fr-CA"/>
        </w:rPr>
      </w:pPr>
      <w:r>
        <w:rPr>
          <w:lang w:val="fr-CA"/>
        </w:rPr>
        <w:t>Cette section vous aidera à élaborer votre stratégie de préservation afin de garantir que vos données seront disponibles et utilisables dans un avenir prévisible après la fin de votre projet. La stratégie de conservation des données dépendra</w:t>
      </w:r>
    </w:p>
    <w:p>
      <w:pPr>
        <w:pStyle w:val="Desc-section"/>
        <w:numPr>
          <w:ilvl w:val="0"/>
          <w:numId w:val="28"/>
        </w:numPr>
        <w:rPr>
          <w:lang w:val="fr-CA"/>
        </w:rPr>
      </w:pPr>
      <w:proofErr w:type="gramStart"/>
      <w:r>
        <w:rPr>
          <w:lang w:val="fr-CA"/>
        </w:rPr>
        <w:t>de</w:t>
      </w:r>
      <w:proofErr w:type="gramEnd"/>
      <w:r>
        <w:rPr>
          <w:lang w:val="fr-CA"/>
        </w:rPr>
        <w:t xml:space="preserve"> la valeur de réutilisation potentielle;</w:t>
      </w:r>
    </w:p>
    <w:p>
      <w:pPr>
        <w:pStyle w:val="Desc-section"/>
        <w:numPr>
          <w:ilvl w:val="0"/>
          <w:numId w:val="28"/>
        </w:numPr>
        <w:rPr>
          <w:lang w:val="fr-CA"/>
        </w:rPr>
      </w:pPr>
      <w:proofErr w:type="gramStart"/>
      <w:r>
        <w:rPr>
          <w:lang w:val="fr-CA"/>
        </w:rPr>
        <w:t>des</w:t>
      </w:r>
      <w:proofErr w:type="gramEnd"/>
      <w:r>
        <w:rPr>
          <w:lang w:val="fr-CA"/>
        </w:rPr>
        <w:t xml:space="preserve"> exigences en matière de conservation ou de destruction des données;</w:t>
      </w:r>
    </w:p>
    <w:p>
      <w:pPr>
        <w:pStyle w:val="Desc-section"/>
        <w:numPr>
          <w:ilvl w:val="0"/>
          <w:numId w:val="28"/>
        </w:numPr>
        <w:rPr>
          <w:lang w:val="fr-CA"/>
        </w:rPr>
      </w:pPr>
      <w:proofErr w:type="gramStart"/>
      <w:r>
        <w:rPr>
          <w:lang w:val="fr-CA"/>
        </w:rPr>
        <w:t>des</w:t>
      </w:r>
      <w:proofErr w:type="gramEnd"/>
      <w:r>
        <w:rPr>
          <w:lang w:val="fr-CA"/>
        </w:rPr>
        <w:t xml:space="preserve"> ressources requises pour la saine organisation des données et pour assurer qu’elles demeurent utilisables dans le future;</w:t>
      </w:r>
    </w:p>
    <w:p>
      <w:pPr>
        <w:pStyle w:val="Desc-section"/>
        <w:numPr>
          <w:ilvl w:val="0"/>
          <w:numId w:val="28"/>
        </w:numPr>
        <w:rPr>
          <w:lang w:val="fr-CA"/>
        </w:rPr>
      </w:pPr>
      <w:proofErr w:type="gramStart"/>
      <w:r>
        <w:rPr>
          <w:lang w:val="fr-CA"/>
        </w:rPr>
        <w:t>du</w:t>
      </w:r>
      <w:proofErr w:type="gramEnd"/>
      <w:r>
        <w:rPr>
          <w:lang w:val="fr-CA"/>
        </w:rPr>
        <w:t xml:space="preserve"> consentement obtenu auprès des participants qui permet ou interdit l’utilisation secondaire ou le partage des données collectées.</w:t>
      </w:r>
    </w:p>
    <w:p>
      <w:pPr>
        <w:pStyle w:val="Desc-section"/>
        <w:rPr>
          <w:lang w:val="fr-CA"/>
        </w:rPr>
      </w:pPr>
      <w:r>
        <w:rPr>
          <w:lang w:val="fr-CA"/>
        </w:rPr>
        <w:t>Dans certains cas, il peut être souhaitable de conserver toutes les versions des données (par exemple, les données brutes, traitées, analysées, définitives), mais dans d’autres cas, il peut être préférable de conserver uniquement les données sélectionnées ou définitives (par exemple, les transcriptions au lieu d’entrevues sonores).</w:t>
      </w:r>
    </w:p>
    <w:p>
      <w:pPr>
        <w:pStyle w:val="Desc-section"/>
        <w:rPr>
          <w:lang w:val="fr-CA"/>
        </w:rPr>
      </w:pPr>
      <w:r>
        <w:rPr>
          <w:lang w:val="fr-CA"/>
        </w:rPr>
        <w:t xml:space="preserve">Les </w:t>
      </w:r>
      <w:r>
        <w:rPr>
          <w:b/>
          <w:bCs/>
          <w:lang w:val="fr-CA"/>
        </w:rPr>
        <w:t>données brutes</w:t>
      </w:r>
      <w:r>
        <w:rPr>
          <w:lang w:val="fr-CA"/>
        </w:rPr>
        <w:t xml:space="preserve"> sont des données obtenues directement de l’instrument, de la simulation ou du sondage.</w:t>
      </w:r>
    </w:p>
    <w:p>
      <w:pPr>
        <w:pStyle w:val="Desc-section"/>
        <w:rPr>
          <w:lang w:val="fr-CA"/>
        </w:rPr>
      </w:pPr>
      <w:r>
        <w:rPr>
          <w:lang w:val="fr-CA"/>
        </w:rPr>
        <w:t xml:space="preserve">Les </w:t>
      </w:r>
      <w:r>
        <w:rPr>
          <w:b/>
          <w:bCs/>
          <w:lang w:val="fr-CA"/>
        </w:rPr>
        <w:t>données traitées</w:t>
      </w:r>
      <w:r>
        <w:rPr>
          <w:lang w:val="fr-CA"/>
        </w:rPr>
        <w:t xml:space="preserve"> découlent d’une certaine manipulation des données brutes afin d’éliminer les erreurs ou les valeurs aberrantes, de préparer les données en vue de l’analyse, d’obtenir de nouvelles variables ou d’obfusquer l’identification des participants humains.</w:t>
      </w:r>
    </w:p>
    <w:p>
      <w:pPr>
        <w:pStyle w:val="Desc-section"/>
        <w:rPr>
          <w:lang w:val="fr-CA"/>
        </w:rPr>
      </w:pPr>
      <w:r>
        <w:rPr>
          <w:lang w:val="fr-CA"/>
        </w:rPr>
        <w:t xml:space="preserve">Les </w:t>
      </w:r>
      <w:r>
        <w:rPr>
          <w:b/>
          <w:bCs/>
          <w:lang w:val="fr-CA"/>
        </w:rPr>
        <w:t>données analysées</w:t>
      </w:r>
      <w:r>
        <w:rPr>
          <w:lang w:val="fr-CA"/>
        </w:rPr>
        <w:t xml:space="preserve"> sont les résultats d’une analyse qualitative, statistique ou mathématique des données traitées. Elles peuvent être présentées sous forme de graphiques, de diagrammes ou de tableaux statistiques.</w:t>
      </w:r>
    </w:p>
    <w:p>
      <w:pPr>
        <w:pStyle w:val="Desc-section"/>
        <w:rPr>
          <w:lang w:val="fr-CA"/>
        </w:rPr>
      </w:pPr>
      <w:r>
        <w:rPr>
          <w:lang w:val="fr-CA"/>
        </w:rPr>
        <w:t xml:space="preserve">Les </w:t>
      </w:r>
      <w:r>
        <w:rPr>
          <w:b/>
          <w:bCs/>
          <w:lang w:val="fr-CA"/>
        </w:rPr>
        <w:t>données définitives</w:t>
      </w:r>
      <w:r>
        <w:rPr>
          <w:lang w:val="fr-CA"/>
        </w:rPr>
        <w:t xml:space="preserve"> sont des données traitées qui ont été converties, au besoin, dans un format pouvant être préservé.</w:t>
      </w:r>
    </w:p>
    <w:p/>
    <w:p>
      <w:pPr>
        <w:pStyle w:val="Question-PGD"/>
        <w:rPr>
          <w:lang w:val="fr-CA"/>
        </w:rPr>
      </w:pPr>
      <w:r>
        <w:rPr>
          <w:lang w:val="fr-CA"/>
        </w:rPr>
        <w:t>4.1 Où déposerez-vous vos données pour les conserver à long terme et y accéder après la fin de votre projet de recherche?</w:t>
      </w:r>
    </w:p>
    <w:p>
      <w:pPr>
        <w:pStyle w:val="EspaceentreQDirectives"/>
        <w:rPr>
          <w:lang w:val="fr-CA"/>
        </w:rPr>
      </w:pPr>
    </w:p>
    <w:p>
      <w:pPr>
        <w:pStyle w:val="Directives-intitul"/>
        <w:rPr>
          <w:lang w:val="fr-CA"/>
        </w:rPr>
      </w:pPr>
      <w:r>
        <w:rPr>
          <w:lang w:val="fr-CA"/>
        </w:rPr>
        <w:t>Directives</w:t>
      </w:r>
    </w:p>
    <w:p>
      <w:pPr>
        <w:pStyle w:val="Directives-corps"/>
        <w:rPr>
          <w:lang w:val="fr-CA"/>
        </w:rPr>
      </w:pPr>
      <w:r>
        <w:rPr>
          <w:lang w:val="fr-CA"/>
        </w:rPr>
        <w:t>Idéalement, la question de la préservation des données de recherche est examinée tôt dans votre projet. Il vaut mieux être préparé, afin de s’assurer que tous les membres de l’équipe sont sur la même page. Les décisions relatives à la préservation des données peuvent être dictées par des politiques internes, des politiques externes (par exemple : organismes de financement, éditeurs de revues), par une compréhension de la valeur durable d’un ensemble de données déterminé ou par l’obtention d’un consentement à la préservation/réutilisation/partage des données auprès des participants.</w:t>
      </w:r>
    </w:p>
    <w:p>
      <w:pPr>
        <w:pStyle w:val="Directives-corps"/>
        <w:rPr>
          <w:lang w:val="fr-CA"/>
        </w:rPr>
      </w:pPr>
      <w:r>
        <w:rPr>
          <w:lang w:val="fr-CA"/>
        </w:rPr>
        <w:t>La nécessité de préserver les données à court terme (c.-à-d. à des fins de vérification par des pairs) ou à long terme (pour les données de valeur durable) influencera le choix de l’archive ou du dépôt de données. Une analogie utile consiste à penser à créer un « testament de vie » pour les données, c’est-à-dire un plan qui décrit la façon dont les futurs chercheurs continueront d’avoir accès aux données.</w:t>
      </w:r>
    </w:p>
    <w:p>
      <w:pPr>
        <w:pStyle w:val="EspaceentreQDirectives"/>
        <w:rPr>
          <w:lang w:val="fr-CA"/>
        </w:rPr>
      </w:pPr>
    </w:p>
    <w:p>
      <w:pPr>
        <w:pStyle w:val="Ress-intitul"/>
        <w:rPr>
          <w:lang w:val="fr-CA"/>
        </w:rPr>
      </w:pPr>
      <w:r>
        <w:rPr>
          <w:lang w:val="fr-CA"/>
        </w:rPr>
        <w:t>Ressources</w:t>
      </w:r>
    </w:p>
    <w:bookmarkStart w:id="22" w:name="_Hlk209539704"/>
    <w:p>
      <w:pPr>
        <w:pStyle w:val="Exemple-corps"/>
        <w:rPr>
          <w:lang w:val="fr-CA"/>
        </w:rPr>
      </w:pPr>
      <w:r>
        <w:fldChar w:fldCharType="begin"/>
      </w:r>
      <w:r>
        <w:rPr>
          <w:lang w:val="fr-CA"/>
        </w:rPr>
        <w:instrText xml:space="preserve"> HYPERLINK "https://enseignement.chusj.org/getmedia/9a395c77-2c02-424e-b2e2-22396a9d026f/guide_gdr_periode_conservation_donnees_202406.pdf" </w:instrText>
      </w:r>
      <w:r>
        <w:fldChar w:fldCharType="separate"/>
      </w:r>
      <w:r>
        <w:rPr>
          <w:rStyle w:val="Lienhypertexte"/>
          <w:lang w:val="fr-CA"/>
        </w:rPr>
        <w:t>Guide sur les délais de conservation des données de recherche au Centre de recherche Azrieli du CHU Sainte-Justine</w:t>
      </w:r>
      <w:r>
        <w:fldChar w:fldCharType="end"/>
      </w:r>
    </w:p>
    <w:p>
      <w:pPr>
        <w:pStyle w:val="Exemple-corps"/>
        <w:rPr>
          <w:lang w:val="fr-CA"/>
        </w:rPr>
      </w:pPr>
      <w:hyperlink r:id="rId34" w:history="1">
        <w:r>
          <w:rPr>
            <w:rStyle w:val="Lienhypertexte"/>
            <w:lang w:val="fr-CA"/>
          </w:rPr>
          <w:t>Solutions de stockage au Centre de recherche Azrieli du CHU Sainte-Justine</w:t>
        </w:r>
      </w:hyperlink>
    </w:p>
    <w:bookmarkEnd w:id="22"/>
    <w:p>
      <w:pPr>
        <w:pStyle w:val="EspaceentreQDirectives"/>
        <w:rPr>
          <w:lang w:val="fr-CA"/>
        </w:rPr>
      </w:pPr>
    </w:p>
    <w:p>
      <w:pPr>
        <w:pStyle w:val="Exemple-intitul"/>
        <w:rPr>
          <w:lang w:val="fr-CA"/>
        </w:rPr>
      </w:pPr>
      <w:r>
        <w:rPr>
          <w:lang w:val="fr-CA"/>
        </w:rPr>
        <w:lastRenderedPageBreak/>
        <w:t>Exemple</w:t>
      </w:r>
    </w:p>
    <w:p>
      <w:pPr>
        <w:pStyle w:val="Exemple-corps"/>
        <w:rPr>
          <w:lang w:val="fr-CA"/>
        </w:rPr>
      </w:pPr>
      <w:r>
        <w:rPr>
          <w:lang w:val="fr-CA"/>
        </w:rPr>
        <w:t>Après la fin du projet de recherche, les données dépersonnalisées seront comprimées et conservées sur l’espace SharePoint de l’équipe pendant 7 ans. Comme nos données ont une valeur durable potentielle et que nous avons obtenu le consentement approprié auprès de nos participants, la fin du projet sera également le moment où notre équipe produira un article de données afin de faire connaître l’existence des données générées dans le cadre de notre étude. Cela permettra une potentielle utilisation secondaire des données dépersonnalisées par d’autres chercheurs.</w:t>
      </w:r>
    </w:p>
    <w:p/>
    <w:p>
      <w:pPr>
        <w:pStyle w:val="Question-PGD"/>
        <w:rPr>
          <w:lang w:val="fr-CA"/>
        </w:rPr>
      </w:pPr>
      <w:r>
        <w:rPr>
          <w:lang w:val="fr-CA"/>
        </w:rPr>
        <w:t>4.2 Indiquez comment vous vous assurerez que vos données sont prêtes pour la conservation.</w:t>
      </w:r>
    </w:p>
    <w:p>
      <w:pPr>
        <w:pStyle w:val="EspaceentreQDirectives"/>
        <w:rPr>
          <w:lang w:val="fr-CA"/>
        </w:rPr>
      </w:pPr>
    </w:p>
    <w:p>
      <w:pPr>
        <w:pStyle w:val="Directives-intitul"/>
        <w:rPr>
          <w:lang w:val="fr-CA"/>
        </w:rPr>
      </w:pPr>
      <w:r>
        <w:rPr>
          <w:lang w:val="fr-CA"/>
        </w:rPr>
        <w:t>Directives</w:t>
      </w:r>
    </w:p>
    <w:p>
      <w:pPr>
        <w:pStyle w:val="Directives-corps"/>
        <w:rPr>
          <w:lang w:val="fr-CA"/>
        </w:rPr>
      </w:pPr>
      <w:r>
        <w:rPr>
          <w:lang w:val="fr-CA"/>
        </w:rPr>
        <w:t>À prendre en considération : sélection de formats de fichier pour la conservation qui préservent l’intégrité des données. L’anonymisation ou la dépersonnalisation des fichiers doit être planifiée et documentée.</w:t>
      </w:r>
    </w:p>
    <w:p>
      <w:pPr>
        <w:spacing w:after="0"/>
        <w:ind w:left="709"/>
        <w:jc w:val="both"/>
        <w:rPr>
          <w:i/>
          <w:iCs/>
        </w:rPr>
      </w:pPr>
      <w:r>
        <w:rPr>
          <w:i/>
          <w:iCs/>
        </w:rPr>
        <w:t xml:space="preserve">Les formats propriétaires nécessitant l’utilisation de logiciels ou de matériels spécialisés ne sont pas recommandés, mais peuvent être nécessaires pour certaines méthodes d’analyse ou de collecte des données. Envisagez de transformer tout fichier propriétaire </w:t>
      </w:r>
      <w:r>
        <w:rPr>
          <w:bCs/>
          <w:i/>
          <w:iCs/>
        </w:rPr>
        <w:t>en</w:t>
      </w:r>
      <w:r>
        <w:rPr>
          <w:bCs/>
          <w:i/>
          <w:iCs/>
          <w:u w:val="single"/>
        </w:rPr>
        <w:t xml:space="preserve"> </w:t>
      </w:r>
      <w:hyperlink r:id="rId35">
        <w:r>
          <w:rPr>
            <w:rStyle w:val="Lienhypertexte"/>
            <w:bCs/>
            <w:i/>
            <w:iCs/>
          </w:rPr>
          <w:t>formats convenables à la préservation à long terme des données</w:t>
        </w:r>
      </w:hyperlink>
      <w:r>
        <w:rPr>
          <w:i/>
          <w:iCs/>
        </w:rPr>
        <w:t xml:space="preserve"> pour en faciliter l’accès et la réutilisation.</w:t>
      </w:r>
      <w:r>
        <w:t xml:space="preserve"> </w:t>
      </w:r>
      <w:r>
        <w:rPr>
          <w:i/>
        </w:rPr>
        <w:t xml:space="preserve">Par exemple, les formats de fichier ouverts et non-propriétaires, comme le format texte (.txt) et les valeurs séparées par des virgules (.csv), sont considérés comme des formats conçus pour la préservation. Le UK Data Archive (dépôt de données du Royaume-Uni) fournit un </w:t>
      </w:r>
      <w:hyperlink r:id="rId36" w:history="1">
        <w:r>
          <w:rPr>
            <w:rStyle w:val="Lienhypertexte"/>
            <w:i/>
          </w:rPr>
          <w:t>tableau utile</w:t>
        </w:r>
      </w:hyperlink>
      <w:r>
        <w:rPr>
          <w:i/>
        </w:rPr>
        <w:t xml:space="preserve"> des formats de fichier pour divers types de données. Il faut se rappeler que les fichiers qui sont convertis d’un format à l’autre peuvent perdre des renseignements (p. ex. en convertissant un fichier TIFF non compressé à un fichier JPG compressé). Ainsi, les modifications apportées aux formats de fichier doivent être documentées.</w:t>
      </w:r>
    </w:p>
    <w:p>
      <w:pPr>
        <w:pStyle w:val="Directives-corps"/>
        <w:rPr>
          <w:lang w:val="fr-CA"/>
        </w:rPr>
      </w:pPr>
      <w:r>
        <w:rPr>
          <w:lang w:val="fr-CA"/>
        </w:rPr>
        <w:t xml:space="preserve">Si vous planifiez convertir vos données en format ouvert une fois votre projet terminé, </w:t>
      </w:r>
      <w:r>
        <w:rPr>
          <w:b/>
          <w:bCs/>
          <w:lang w:val="fr-CA"/>
        </w:rPr>
        <w:t>mentionnez-le et mentionnez la phase du projet où se produira la migration</w:t>
      </w:r>
      <w:r>
        <w:rPr>
          <w:lang w:val="fr-CA"/>
        </w:rPr>
        <w:t>. Les formats de collecte et les formats de préservation peuvent être différents (ex. données collectées dans Microsoft Excel, mais stockées en valeurs séparées par des virgules/format .csv).</w:t>
      </w:r>
    </w:p>
    <w:p>
      <w:pPr>
        <w:pStyle w:val="Directives-corps"/>
        <w:rPr>
          <w:lang w:val="fr-CA"/>
        </w:rPr>
      </w:pPr>
      <w:r>
        <w:rPr>
          <w:lang w:val="fr-CA"/>
        </w:rPr>
        <w:t>Déterminez les étapes à suivre à la fin d’un projet pour assurer que les données que vous choisissez de préserver ou de partager sont dépersonnalisées, exemptes d’erreur et converties dans les formats recommandés en assurant un risque minimal de perte de données. Notamment, mentionnez les méthodes de dépersonnalisation et de validation auxquelles vous aurez recours.</w:t>
      </w:r>
    </w:p>
    <w:p>
      <w:pPr>
        <w:pStyle w:val="EspaceentreQDirectives"/>
        <w:rPr>
          <w:lang w:val="fr-CA"/>
        </w:rPr>
      </w:pPr>
    </w:p>
    <w:p>
      <w:pPr>
        <w:pStyle w:val="Ress-intitul"/>
        <w:rPr>
          <w:lang w:val="fr-CA"/>
        </w:rPr>
      </w:pPr>
      <w:r>
        <w:rPr>
          <w:lang w:val="fr-CA"/>
        </w:rPr>
        <w:t>Ressources</w:t>
      </w:r>
    </w:p>
    <w:p>
      <w:pPr>
        <w:pStyle w:val="Exemple-corps"/>
        <w:rPr>
          <w:lang w:val="fr-CA"/>
        </w:rPr>
      </w:pPr>
      <w:hyperlink r:id="rId37" w:history="1">
        <w:r>
          <w:rPr>
            <w:rStyle w:val="Lienhypertexte"/>
            <w:lang w:val="fr-CA"/>
          </w:rPr>
          <w:t>Lexique de gestion des données de recherche du CHU Sainte-Justine</w:t>
        </w:r>
      </w:hyperlink>
      <w:r>
        <w:rPr>
          <w:lang w:val="fr-CA"/>
        </w:rPr>
        <w:t>, ressource utile pour mieux saisir la nuance entre un renseignement « dépersonnalisé » et un renseignement « anonymisé »</w:t>
      </w:r>
    </w:p>
    <w:p>
      <w:pPr>
        <w:pStyle w:val="Exemple-corps"/>
        <w:rPr>
          <w:b/>
          <w:lang w:val="fr-CA"/>
        </w:rPr>
      </w:pPr>
      <w:hyperlink r:id="rId38">
        <w:r>
          <w:rPr>
            <w:rStyle w:val="Lienhypertexte"/>
            <w:lang w:val="fr-CA"/>
          </w:rPr>
          <w:t>L’anonymisation et la désidentification</w:t>
        </w:r>
      </w:hyperlink>
      <w:r>
        <w:rPr>
          <w:lang w:val="fr-CA"/>
        </w:rPr>
        <w:t>, guide des bibliothèques de l’Université de la Colombie-Britannique (en anglais seulement)</w:t>
      </w:r>
    </w:p>
    <w:p>
      <w:pPr>
        <w:pStyle w:val="Exemple-corps"/>
        <w:rPr>
          <w:b/>
          <w:lang w:val="fr-CA"/>
        </w:rPr>
      </w:pPr>
      <w:hyperlink r:id="rId39">
        <w:r>
          <w:rPr>
            <w:rStyle w:val="Lienhypertexte"/>
            <w:lang w:val="fr-CA"/>
          </w:rPr>
          <w:t>L’anonymisation des données quantitatives</w:t>
        </w:r>
      </w:hyperlink>
      <w:r>
        <w:rPr>
          <w:lang w:val="fr-CA"/>
        </w:rPr>
        <w:t>, guide du UK Data Service (en anglais seulement)</w:t>
      </w:r>
    </w:p>
    <w:p>
      <w:pPr>
        <w:pStyle w:val="Exemple-corps"/>
        <w:rPr>
          <w:lang w:val="fr-CA"/>
        </w:rPr>
      </w:pPr>
      <w:hyperlink r:id="rId40">
        <w:r>
          <w:rPr>
            <w:rStyle w:val="Lienhypertexte"/>
            <w:lang w:val="fr-CA"/>
          </w:rPr>
          <w:t>L’anonymisation des données qualitatives</w:t>
        </w:r>
      </w:hyperlink>
      <w:r>
        <w:rPr>
          <w:lang w:val="fr-CA"/>
        </w:rPr>
        <w:t>, guide du UK Data Service (en anglais seulement)</w:t>
      </w:r>
    </w:p>
    <w:p>
      <w:pPr>
        <w:pStyle w:val="EspaceentreQDirectives"/>
        <w:rPr>
          <w:lang w:val="fr-CA"/>
        </w:rPr>
      </w:pPr>
    </w:p>
    <w:p>
      <w:pPr>
        <w:pStyle w:val="Exemple-intitul"/>
        <w:rPr>
          <w:lang w:val="fr-CA"/>
        </w:rPr>
      </w:pPr>
      <w:r>
        <w:rPr>
          <w:lang w:val="fr-CA"/>
        </w:rPr>
        <w:t>Exemple</w:t>
      </w:r>
    </w:p>
    <w:p>
      <w:pPr>
        <w:pStyle w:val="Exemple-corps"/>
        <w:rPr>
          <w:lang w:val="fr-CA"/>
        </w:rPr>
      </w:pPr>
      <w:r>
        <w:rPr>
          <w:lang w:val="fr-CA"/>
        </w:rPr>
        <w:lastRenderedPageBreak/>
        <w:t>Une fois que notre publication sera approuvée, nous détruirons la clé du code des identifiants des participants. Cela nous permettra d’anonymiser les données avant leur préservation.</w:t>
      </w:r>
    </w:p>
    <w:p>
      <w:pPr>
        <w:pStyle w:val="Exemple-corps"/>
        <w:rPr>
          <w:lang w:val="fr-CA"/>
        </w:rPr>
      </w:pPr>
      <w:r>
        <w:rPr>
          <w:lang w:val="fr-CA"/>
        </w:rPr>
        <w:t>Nous avons confiance que les formats .csv et .</w:t>
      </w:r>
      <w:proofErr w:type="spellStart"/>
      <w:r>
        <w:rPr>
          <w:lang w:val="fr-CA"/>
        </w:rPr>
        <w:t>rtf</w:t>
      </w:r>
      <w:proofErr w:type="spellEnd"/>
      <w:r>
        <w:rPr>
          <w:lang w:val="fr-CA"/>
        </w:rPr>
        <w:t xml:space="preserve"> ne sont pas un obstacle à la réutilisation des données, c’est pourquoi nous utiliserons ces formats pour la préservation.</w:t>
      </w:r>
    </w:p>
    <w:p>
      <w:pPr>
        <w:rPr>
          <w:rFonts w:eastAsiaTheme="majorEastAsia" w:cs="Arial"/>
          <w:b/>
          <w:bCs/>
          <w:sz w:val="28"/>
          <w:szCs w:val="26"/>
        </w:rPr>
      </w:pPr>
      <w:r>
        <w:br w:type="page"/>
      </w:r>
    </w:p>
    <w:p>
      <w:pPr>
        <w:pStyle w:val="Titre1CRACHUSJ"/>
        <w:numPr>
          <w:ilvl w:val="0"/>
          <w:numId w:val="27"/>
        </w:numPr>
      </w:pPr>
      <w:bookmarkStart w:id="23" w:name="_Toc208419170"/>
      <w:bookmarkStart w:id="24" w:name="_Toc210032667"/>
      <w:r>
        <w:lastRenderedPageBreak/>
        <w:t>Partage et réutilisation</w:t>
      </w:r>
      <w:bookmarkEnd w:id="23"/>
      <w:bookmarkEnd w:id="24"/>
    </w:p>
    <w:p>
      <w:pPr>
        <w:pStyle w:val="Desc-section"/>
        <w:rPr>
          <w:lang w:val="fr-CA"/>
        </w:rPr>
      </w:pPr>
      <w:r>
        <w:rPr>
          <w:lang w:val="fr-CA"/>
        </w:rPr>
        <w:t>La plupart des organismes subventionnaires canadiens ont maintenant des politiques exigeant que les données de recherche soient partagées au moment de la publication des résultats de la recherche ou dans un délai raisonnable. Il existe forcément un équilibre entre le souhait légitime des chercheurs de maximiser les résultats de leurs recherches par la publication et la contribution du partage des données à la visibilité et à l’impact de la recherche. De plus, il est tout aussi important de protéger la vie privée des participants et de traiter les données sensibles de manière appropriée.</w:t>
      </w:r>
    </w:p>
    <w:p>
      <w:pPr>
        <w:pStyle w:val="Desc-section"/>
        <w:rPr>
          <w:iCs/>
          <w:lang w:val="fr-CA"/>
        </w:rPr>
      </w:pPr>
      <w:r>
        <w:rPr>
          <w:iCs/>
          <w:lang w:val="fr-CA"/>
        </w:rPr>
        <w:t xml:space="preserve">Lorsque les données de recherche comprennent des </w:t>
      </w:r>
      <w:r>
        <w:rPr>
          <w:b/>
          <w:iCs/>
          <w:lang w:val="fr-CA"/>
        </w:rPr>
        <w:t>données issues de participants humains</w:t>
      </w:r>
      <w:r>
        <w:rPr>
          <w:iCs/>
          <w:lang w:val="fr-CA"/>
        </w:rPr>
        <w:t xml:space="preserve">, </w:t>
      </w:r>
      <w:r>
        <w:rPr>
          <w:b/>
          <w:iCs/>
          <w:lang w:val="fr-CA"/>
        </w:rPr>
        <w:t>l’établissement de santé concerné</w:t>
      </w:r>
      <w:r>
        <w:rPr>
          <w:iCs/>
          <w:lang w:val="fr-CA"/>
        </w:rPr>
        <w:t xml:space="preserve"> (et le participant lorsqu’applicable) doit approuver tout partage ou toute utilisation non initialement prévue/autorisée. L’établissement de santé détient la garde des données, mais n’en est pas propriétaire. La chercheuse ou le chercheur impliqué dans un projet détient des droits d’accès privilégiés à des fins de recherche. Peu importe la manière dont les équipes ont accès aux données (consentement des participants, autorisation administrative, processus EFVP, entente avec les gestionnaires d’une banque de données, etc.), les équipes de recherche sont responsables d’en assurer la gestion responsable.</w:t>
      </w:r>
    </w:p>
    <w:p>
      <w:pPr>
        <w:pStyle w:val="Desc-section"/>
        <w:rPr>
          <w:lang w:val="fr-CA"/>
        </w:rPr>
      </w:pPr>
      <w:r>
        <w:rPr>
          <w:lang w:val="fr-CA"/>
        </w:rPr>
        <w:t xml:space="preserve">Le Comité d’éthique de la recherche du CHU est votre meilleur allié pour toute question liée à l’utilisation secondaire ou le partage de données cliniques. Assurez-vous de leur communiquer vos questions et vos préoccupations </w:t>
      </w:r>
      <w:r>
        <w:rPr>
          <w:b/>
          <w:bCs/>
          <w:lang w:val="fr-CA"/>
        </w:rPr>
        <w:t>avant le début du projet</w:t>
      </w:r>
      <w:r>
        <w:rPr>
          <w:lang w:val="fr-CA"/>
        </w:rPr>
        <w:t>.</w:t>
      </w:r>
    </w:p>
    <w:p/>
    <w:p>
      <w:pPr>
        <w:pStyle w:val="Question-PGD"/>
        <w:rPr>
          <w:lang w:val="fr-CA"/>
        </w:rPr>
      </w:pPr>
      <w:r>
        <w:rPr>
          <w:lang w:val="fr-CA"/>
        </w:rPr>
        <w:t>5.1 Quelles données partagerez-vous et sous quelle forme les partagerez-vous (par exemple, données brutes, traitées, analysées, finales)? Partagerez-vous d’autres produits de votre projet (par exemple, des codes, des scripts d’analyses, des outils ou logiciels développés par votre équipe, etc.)?</w:t>
      </w:r>
    </w:p>
    <w:p>
      <w:pPr>
        <w:pStyle w:val="EspaceentreQDirectives"/>
        <w:rPr>
          <w:lang w:val="fr-CA"/>
        </w:rPr>
      </w:pPr>
    </w:p>
    <w:p>
      <w:pPr>
        <w:pStyle w:val="Directives-intitul"/>
        <w:rPr>
          <w:lang w:val="fr-CA"/>
        </w:rPr>
      </w:pPr>
      <w:r>
        <w:rPr>
          <w:lang w:val="fr-CA"/>
        </w:rPr>
        <w:t>Directives</w:t>
      </w:r>
    </w:p>
    <w:p>
      <w:pPr>
        <w:pStyle w:val="Directives-corps"/>
        <w:rPr>
          <w:lang w:val="fr-CA"/>
        </w:rPr>
      </w:pPr>
      <w:bookmarkStart w:id="25" w:name="_Hlk209532240"/>
      <w:r>
        <w:rPr>
          <w:lang w:val="fr-CA"/>
        </w:rPr>
        <w:t xml:space="preserve">Les </w:t>
      </w:r>
      <w:r>
        <w:rPr>
          <w:b/>
          <w:bCs/>
          <w:lang w:val="fr-CA"/>
        </w:rPr>
        <w:t>données brutes</w:t>
      </w:r>
      <w:r>
        <w:rPr>
          <w:lang w:val="fr-CA"/>
        </w:rPr>
        <w:t xml:space="preserve"> sont des données obtenues directement de l’instrument, de la simulation ou du sondage.</w:t>
      </w:r>
    </w:p>
    <w:p>
      <w:pPr>
        <w:pStyle w:val="Directives-corps"/>
        <w:rPr>
          <w:lang w:val="fr-CA"/>
        </w:rPr>
      </w:pPr>
      <w:r>
        <w:rPr>
          <w:lang w:val="fr-CA"/>
        </w:rPr>
        <w:t xml:space="preserve">Les </w:t>
      </w:r>
      <w:r>
        <w:rPr>
          <w:b/>
          <w:bCs/>
          <w:lang w:val="fr-CA"/>
        </w:rPr>
        <w:t>données traitées</w:t>
      </w:r>
      <w:r>
        <w:rPr>
          <w:lang w:val="fr-CA"/>
        </w:rPr>
        <w:t xml:space="preserve"> découlent d’une certaine manipulation des données brutes afin d’éliminer les erreurs ou les valeurs aberrantes, de préparer les données en vue de l’analyse, d’obtenir de nouvelles variables ou d’obfusquer l’identification des participants humains.</w:t>
      </w:r>
    </w:p>
    <w:p>
      <w:pPr>
        <w:pStyle w:val="Directives-corps"/>
        <w:rPr>
          <w:lang w:val="fr-CA"/>
        </w:rPr>
      </w:pPr>
      <w:r>
        <w:rPr>
          <w:lang w:val="fr-CA"/>
        </w:rPr>
        <w:t xml:space="preserve">Les </w:t>
      </w:r>
      <w:r>
        <w:rPr>
          <w:b/>
          <w:bCs/>
          <w:lang w:val="fr-CA"/>
        </w:rPr>
        <w:t>données analysées</w:t>
      </w:r>
      <w:r>
        <w:rPr>
          <w:lang w:val="fr-CA"/>
        </w:rPr>
        <w:t xml:space="preserve"> sont les résultats d’une analyse qualitative, statistique ou mathématique des données traitées. Elles peuvent être présentées sous forme de graphiques, de diagrammes ou de tableaux statistiques.</w:t>
      </w:r>
    </w:p>
    <w:p>
      <w:pPr>
        <w:pStyle w:val="Directives-corps"/>
        <w:rPr>
          <w:lang w:val="fr-CA"/>
        </w:rPr>
      </w:pPr>
      <w:r>
        <w:rPr>
          <w:lang w:val="fr-CA"/>
        </w:rPr>
        <w:t xml:space="preserve">Les </w:t>
      </w:r>
      <w:r>
        <w:rPr>
          <w:b/>
          <w:bCs/>
          <w:lang w:val="fr-CA"/>
        </w:rPr>
        <w:t>données définitives</w:t>
      </w:r>
      <w:r>
        <w:rPr>
          <w:lang w:val="fr-CA"/>
        </w:rPr>
        <w:t xml:space="preserve"> sont des données traitées qui ont été converties, au besoin, dans un format pouvant être préservé.</w:t>
      </w:r>
    </w:p>
    <w:bookmarkEnd w:id="25"/>
    <w:p>
      <w:pPr>
        <w:pStyle w:val="Directives-corps"/>
        <w:rPr>
          <w:lang w:val="fr-CA"/>
        </w:rPr>
      </w:pPr>
      <w:r>
        <w:rPr>
          <w:lang w:val="fr-CA"/>
        </w:rPr>
        <w:t>Examinez les données qui peuvent devoir être partagées afin de respecter les exigences institutionnelles ou de financement et les données qui peuvent faire l’objet de restrictions en raison de préoccupations relatives à la confidentialité, au respect de la vie privée et à la propriété intellectuelle.</w:t>
      </w:r>
    </w:p>
    <w:p>
      <w:pPr>
        <w:pStyle w:val="EspaceentreQDirectives"/>
        <w:rPr>
          <w:lang w:val="fr-CA"/>
        </w:rPr>
      </w:pPr>
    </w:p>
    <w:p>
      <w:pPr>
        <w:pStyle w:val="Exemple-intitul"/>
        <w:rPr>
          <w:lang w:val="fr-CA"/>
        </w:rPr>
      </w:pPr>
      <w:r>
        <w:rPr>
          <w:lang w:val="fr-CA"/>
        </w:rPr>
        <w:t>Exemple</w:t>
      </w:r>
    </w:p>
    <w:p>
      <w:pPr>
        <w:pStyle w:val="Exemple-corps"/>
        <w:rPr>
          <w:lang w:val="fr-CA"/>
        </w:rPr>
      </w:pPr>
      <w:r>
        <w:rPr>
          <w:lang w:val="fr-CA"/>
        </w:rPr>
        <w:t>Les résultats des sondages traités seront rendus disponibles. Le fichier .csv les contenant sera traité afin de retirer tout identifiant direct ou indirect. Les transcriptions des entrevues (.</w:t>
      </w:r>
      <w:proofErr w:type="spellStart"/>
      <w:r>
        <w:rPr>
          <w:lang w:val="fr-CA"/>
        </w:rPr>
        <w:t>rtf</w:t>
      </w:r>
      <w:proofErr w:type="spellEnd"/>
      <w:r>
        <w:rPr>
          <w:lang w:val="fr-CA"/>
        </w:rPr>
        <w:t>) seront également traitées afin de supprimer tout identifiant direct ou indirect. Les données cliniques (.csv) ne seront disponibles que sur demande, suivant la procédure d’accès aux données de santé définie au CHU Sainte-Justine.</w:t>
      </w:r>
    </w:p>
    <w:p/>
    <w:p>
      <w:pPr>
        <w:pStyle w:val="Question-PGD"/>
        <w:rPr>
          <w:lang w:val="fr-CA"/>
        </w:rPr>
      </w:pPr>
      <w:r>
        <w:rPr>
          <w:lang w:val="fr-CA"/>
        </w:rPr>
        <w:t>5.2 Avez-vous songé au type de licence d’utilisateur final à inclure avec vos données? Les autres produits de votre projet pourraient bénéficier d’une licence (par exemple, des codes, des scripts d’analyses, des outils ou logiciels développés par votre équipe, etc.)</w:t>
      </w:r>
    </w:p>
    <w:p>
      <w:pPr>
        <w:pStyle w:val="EspaceentreQDirectives"/>
        <w:rPr>
          <w:lang w:val="fr-CA"/>
        </w:rPr>
      </w:pPr>
    </w:p>
    <w:p>
      <w:pPr>
        <w:pStyle w:val="Directives-intitul"/>
        <w:rPr>
          <w:lang w:val="fr-CA"/>
        </w:rPr>
      </w:pPr>
      <w:r>
        <w:rPr>
          <w:lang w:val="fr-CA"/>
        </w:rPr>
        <w:t>Directives</w:t>
      </w:r>
    </w:p>
    <w:p>
      <w:pPr>
        <w:pStyle w:val="Directives-corps"/>
        <w:rPr>
          <w:lang w:val="fr-CA"/>
        </w:rPr>
      </w:pPr>
      <w:r>
        <w:rPr>
          <w:lang w:val="fr-CA"/>
        </w:rPr>
        <w:t xml:space="preserve">Les licences déterminent les utilisations permises de vos données. Les organismes de financement et les dépôts de données peuvent avoir des </w:t>
      </w:r>
      <w:r>
        <w:rPr>
          <w:b/>
          <w:bCs/>
          <w:lang w:val="fr-CA"/>
        </w:rPr>
        <w:t>exigences relatives à la licence d’utilisation</w:t>
      </w:r>
      <w:r>
        <w:rPr>
          <w:lang w:val="fr-CA"/>
        </w:rPr>
        <w:t>. Si ce n’est pas le cas, ils peuvent vous guider dans la création d’une licence. Une fois la licence créée, veuillez inclure une copie de votre licence d’utilisation avec votre plan de gestion des données. Veuillez noter que seuls les titulaires des droits de propriété intellectuelle peuvent émettre une licence, il est donc essentiel de préciser à qui appartiennent ces droits lors de la création d’une licence.</w:t>
      </w:r>
      <w:bookmarkStart w:id="26" w:name="_Hlk209600346"/>
    </w:p>
    <w:bookmarkEnd w:id="26"/>
    <w:p>
      <w:pPr>
        <w:pStyle w:val="Directives-corps"/>
        <w:rPr>
          <w:lang w:val="fr-CA"/>
        </w:rPr>
      </w:pPr>
      <w:r>
        <w:rPr>
          <w:lang w:val="fr-CA"/>
        </w:rPr>
        <w:t>Il existe plusieurs types de licences standards mises à la disposition des chercheurs. En fait, pour la plupart des ensembles de données, il est plus facile d’utiliser une licence standard plutôt que de concevoir une licence personnalisée. Veuillez noter que même si vous choisissez de rendre vos données publiques, il est préférable de l’indiquer de manière explicite en utilisant une licence comme celle CC0 de Creative Commons.</w:t>
      </w:r>
    </w:p>
    <w:p>
      <w:pPr>
        <w:pStyle w:val="Directives-corps"/>
        <w:rPr>
          <w:lang w:val="fr-CA"/>
        </w:rPr>
      </w:pPr>
      <w:r>
        <w:rPr>
          <w:lang w:val="fr-CA"/>
        </w:rPr>
        <w:t xml:space="preserve">Si vous travaillez avec des données provenant de communautés autochtones ayant statué la propriété collective des données recueillies, les droits de propriété intellectuelle peuvent leur revenir. Le cas échéant, mentionnez à quelle communauté revient les droits sur les données recueillies. Même si la communauté auprès de laquelle vous récolterez les données n’a pas statué d’entente de droits collectifs, vous devez vous assurer de respecter les </w:t>
      </w:r>
      <w:hyperlink r:id="rId41">
        <w:r>
          <w:rPr>
            <w:rStyle w:val="Lienhypertexte"/>
            <w:bCs/>
            <w:lang w:val="fr-CA"/>
          </w:rPr>
          <w:t>principes CARE</w:t>
        </w:r>
      </w:hyperlink>
      <w:r>
        <w:rPr>
          <w:lang w:val="fr-CA"/>
        </w:rPr>
        <w:t xml:space="preserve"> et les </w:t>
      </w:r>
      <w:hyperlink r:id="rId42">
        <w:r>
          <w:rPr>
            <w:rStyle w:val="Lienhypertexte"/>
            <w:bCs/>
            <w:lang w:val="fr-CA"/>
          </w:rPr>
          <w:t>principes PCAP</w:t>
        </w:r>
      </w:hyperlink>
      <w:r>
        <w:rPr>
          <w:lang w:val="fr-CA"/>
        </w:rPr>
        <w:t>.</w:t>
      </w:r>
    </w:p>
    <w:p>
      <w:pPr>
        <w:pStyle w:val="Directives-corps"/>
        <w:rPr>
          <w:lang w:val="fr-CA"/>
        </w:rPr>
      </w:pPr>
      <w:r>
        <w:rPr>
          <w:lang w:val="fr-CA"/>
        </w:rPr>
        <w:t>Qui détient les droits de propriété intellectuelle sur vos données et autres produits de la recherche? Quelles licences y seront-elles appliquées et pourquoi représentent-elles un choix approprié? Avez-vous pris en compte les exigences des organismes subventionnaires et de vos institutions d’affiliation? Vos données font-elles l’objet de précautions particulières quant aux questions de propriété intellectuelle?</w:t>
      </w:r>
    </w:p>
    <w:p>
      <w:pPr>
        <w:pStyle w:val="EspaceentreQDirectives"/>
        <w:rPr>
          <w:lang w:val="fr-CA"/>
        </w:rPr>
      </w:pPr>
    </w:p>
    <w:p>
      <w:pPr>
        <w:pStyle w:val="Ress-intitul"/>
        <w:rPr>
          <w:lang w:val="fr-CA"/>
        </w:rPr>
      </w:pPr>
      <w:r>
        <w:rPr>
          <w:lang w:val="fr-CA"/>
        </w:rPr>
        <w:t>Ressources</w:t>
      </w:r>
    </w:p>
    <w:p>
      <w:pPr>
        <w:pStyle w:val="Exemple-corps"/>
        <w:rPr>
          <w:lang w:val="fr-CA"/>
        </w:rPr>
      </w:pPr>
      <w:hyperlink r:id="rId43">
        <w:r>
          <w:rPr>
            <w:rStyle w:val="Lienhypertexte"/>
            <w:lang w:val="fr-CA"/>
          </w:rPr>
          <w:t>Licences Open Data Commons</w:t>
        </w:r>
      </w:hyperlink>
      <w:r>
        <w:rPr>
          <w:lang w:val="fr-CA"/>
        </w:rPr>
        <w:t xml:space="preserve"> (en anglais seulement)</w:t>
      </w:r>
    </w:p>
    <w:p>
      <w:pPr>
        <w:pStyle w:val="Exemple-corps"/>
        <w:rPr>
          <w:lang w:val="fr-CA"/>
        </w:rPr>
      </w:pPr>
      <w:hyperlink r:id="rId44">
        <w:r>
          <w:rPr>
            <w:rStyle w:val="Lienhypertexte"/>
            <w:lang w:val="fr-CA"/>
          </w:rPr>
          <w:t>Licences Creative Commons</w:t>
        </w:r>
      </w:hyperlink>
      <w:r>
        <w:rPr>
          <w:lang w:val="fr-CA"/>
        </w:rPr>
        <w:t xml:space="preserve"> (en anglais seulement)</w:t>
      </w:r>
    </w:p>
    <w:p>
      <w:pPr>
        <w:pStyle w:val="Exemple-corps"/>
        <w:rPr>
          <w:lang w:val="fr-CA"/>
        </w:rPr>
      </w:pPr>
      <w:hyperlink r:id="rId45">
        <w:r>
          <w:rPr>
            <w:rStyle w:val="Lienhypertexte"/>
            <w:lang w:val="fr-CA"/>
          </w:rPr>
          <w:t>Comment obtenir une licence pour les données de recherche</w:t>
        </w:r>
      </w:hyperlink>
      <w:r>
        <w:rPr>
          <w:lang w:val="fr-CA"/>
        </w:rPr>
        <w:t>, guide du Digital Curation Centre (en anglais seulement)</w:t>
      </w:r>
    </w:p>
    <w:p>
      <w:pPr>
        <w:pStyle w:val="Exemple-corps"/>
        <w:rPr>
          <w:lang w:val="fr-CA"/>
        </w:rPr>
      </w:pPr>
      <w:hyperlink r:id="rId46">
        <w:r>
          <w:rPr>
            <w:rStyle w:val="Lienhypertexte"/>
            <w:lang w:val="fr-CA"/>
          </w:rPr>
          <w:t>Comprendre les principes de PCAP des Premières Nations</w:t>
        </w:r>
      </w:hyperlink>
      <w:r>
        <w:rPr>
          <w:lang w:val="fr-CA"/>
        </w:rPr>
        <w:t>, guide du CGIPN</w:t>
      </w:r>
    </w:p>
    <w:p>
      <w:pPr>
        <w:pStyle w:val="Exemple-corps"/>
        <w:rPr>
          <w:lang w:val="fr-CA"/>
        </w:rPr>
      </w:pPr>
      <w:hyperlink r:id="rId47">
        <w:r>
          <w:rPr>
            <w:rStyle w:val="Lienhypertexte"/>
            <w:lang w:val="fr-CA"/>
          </w:rPr>
          <w:t>Boîte à outils des principes de la recherche en contexte autochtone</w:t>
        </w:r>
      </w:hyperlink>
      <w:r>
        <w:rPr>
          <w:lang w:val="fr-CA"/>
        </w:rPr>
        <w:t>, conçu par la Commission de la santé et des services sociaux des Premières Nations du Québec et du Labrador – CSSSPNQL</w:t>
      </w:r>
    </w:p>
    <w:p>
      <w:pPr>
        <w:pStyle w:val="EspaceentreQDirectives"/>
        <w:rPr>
          <w:lang w:val="fr-CA"/>
        </w:rPr>
      </w:pPr>
    </w:p>
    <w:p>
      <w:pPr>
        <w:pStyle w:val="Exemple-intitul"/>
        <w:rPr>
          <w:lang w:val="fr-CA"/>
        </w:rPr>
      </w:pPr>
      <w:r>
        <w:rPr>
          <w:lang w:val="fr-CA"/>
        </w:rPr>
        <w:t>Exemple</w:t>
      </w:r>
    </w:p>
    <w:p>
      <w:pPr>
        <w:pStyle w:val="Exemple-corps"/>
        <w:rPr>
          <w:lang w:val="fr-CA"/>
        </w:rPr>
      </w:pPr>
      <w:r>
        <w:rPr>
          <w:lang w:val="fr-CA"/>
        </w:rPr>
        <w:t>Le chercheur principal (Jean Tremblay) sera le titulaire des droits de propriété intellectuelle des données et sera responsable de la procédure d’obtention d’une licence CC. La licence reste à établir, mais nous savons déjà qu’une réutilisation des données sera permise, tel que stipulé dans les formulaires de consentement signés par nos participants. De plus, nous nous sommes entendus pour ne permettre un partage secondaire des données réutilisées que dans les cas où ces données font l’objet d’une licence permettant la réutilisation.</w:t>
      </w:r>
    </w:p>
    <w:p/>
    <w:p>
      <w:pPr>
        <w:pStyle w:val="Question-PGD"/>
        <w:rPr>
          <w:lang w:val="fr-CA"/>
        </w:rPr>
      </w:pPr>
      <w:r>
        <w:rPr>
          <w:lang w:val="fr-CA"/>
        </w:rPr>
        <w:lastRenderedPageBreak/>
        <w:t xml:space="preserve">5.3 Comment </w:t>
      </w:r>
      <w:proofErr w:type="spellStart"/>
      <w:r>
        <w:rPr>
          <w:lang w:val="fr-CA"/>
        </w:rPr>
        <w:t>rendrez-vous</w:t>
      </w:r>
      <w:proofErr w:type="spellEnd"/>
      <w:r>
        <w:rPr>
          <w:lang w:val="fr-CA"/>
        </w:rPr>
        <w:t xml:space="preserve"> accessibles vos données à la communauté des chercheurs? Comment </w:t>
      </w:r>
      <w:proofErr w:type="spellStart"/>
      <w:r>
        <w:rPr>
          <w:lang w:val="fr-CA"/>
        </w:rPr>
        <w:t>rendrez-vous</w:t>
      </w:r>
      <w:proofErr w:type="spellEnd"/>
      <w:r>
        <w:rPr>
          <w:lang w:val="fr-CA"/>
        </w:rPr>
        <w:t xml:space="preserve"> accessibles les autres produits de votre projet (par exemple, une prépublication/</w:t>
      </w:r>
      <w:proofErr w:type="spellStart"/>
      <w:r>
        <w:rPr>
          <w:lang w:val="fr-CA"/>
        </w:rPr>
        <w:t>préprint</w:t>
      </w:r>
      <w:proofErr w:type="spellEnd"/>
      <w:r>
        <w:rPr>
          <w:lang w:val="fr-CA"/>
        </w:rPr>
        <w:t>, des codes, des scripts d’analyses, des outils ou logiciels développés par votre équipe, etc.)?</w:t>
      </w:r>
    </w:p>
    <w:p>
      <w:pPr>
        <w:pStyle w:val="Desc-section"/>
        <w:rPr>
          <w:lang w:val="fr-CA"/>
        </w:rPr>
      </w:pPr>
      <w:sdt>
        <w:sdtPr>
          <w:rPr>
            <w:lang w:val="fr-CA"/>
          </w:rPr>
          <w:id w:val="-1612978475"/>
          <w14:checkbox>
            <w14:checked w14:val="0"/>
            <w14:checkedState w14:val="2612" w14:font="MS Gothic"/>
            <w14:uncheckedState w14:val="2610" w14:font="MS Gothic"/>
          </w14:checkbox>
        </w:sdtPr>
        <w:sdtContent>
          <w:r>
            <w:rPr>
              <w:rFonts w:ascii="Segoe UI Symbol" w:hAnsi="Segoe UI Symbol" w:cs="Segoe UI Symbol"/>
              <w:lang w:val="fr-CA"/>
            </w:rPr>
            <w:t>☐</w:t>
          </w:r>
        </w:sdtContent>
      </w:sdt>
      <w:r>
        <w:rPr>
          <w:lang w:val="fr-CA"/>
        </w:rPr>
        <w:t xml:space="preserve"> Dépôt spécifique au domaine d’étude (ex. Repéré sur re3data)</w:t>
      </w:r>
    </w:p>
    <w:p>
      <w:pPr>
        <w:pStyle w:val="Desc-section"/>
      </w:pPr>
      <w:sdt>
        <w:sdtPr>
          <w:rPr>
            <w:lang w:val="fr-CA"/>
          </w:rPr>
          <w:id w:val="-443618541"/>
          <w14:checkbox>
            <w14:checked w14:val="0"/>
            <w14:checkedState w14:val="2612" w14:font="MS Gothic"/>
            <w14:uncheckedState w14:val="2610" w14:font="MS Gothic"/>
          </w14:checkbox>
        </w:sdtPr>
        <w:sdtContent>
          <w:r>
            <w:rPr>
              <w:rFonts w:ascii="Segoe UI Symbol" w:hAnsi="Segoe UI Symbol" w:cs="Segoe UI Symbol"/>
              <w:lang w:val="fr-CA"/>
            </w:rPr>
            <w:t>☐</w:t>
          </w:r>
        </w:sdtContent>
      </w:sdt>
      <w:r>
        <w:rPr>
          <w:lang w:val="fr-CA"/>
        </w:rPr>
        <w:t xml:space="preserve"> Dépôt généraliste (ex. </w:t>
      </w:r>
      <w:r>
        <w:t xml:space="preserve">Borealis, GitHub, OSF, </w:t>
      </w:r>
      <w:proofErr w:type="spellStart"/>
      <w:r>
        <w:t>Zenodo</w:t>
      </w:r>
      <w:proofErr w:type="spellEnd"/>
      <w:r>
        <w:t>, etc.)</w:t>
      </w:r>
    </w:p>
    <w:p>
      <w:pPr>
        <w:pStyle w:val="Desc-section"/>
        <w:rPr>
          <w:lang w:val="fr-CA"/>
        </w:rPr>
      </w:pPr>
      <w:sdt>
        <w:sdtPr>
          <w:rPr>
            <w:lang w:val="fr-CA"/>
          </w:rPr>
          <w:id w:val="-1246801401"/>
          <w14:checkbox>
            <w14:checked w14:val="0"/>
            <w14:checkedState w14:val="2612" w14:font="MS Gothic"/>
            <w14:uncheckedState w14:val="2610" w14:font="MS Gothic"/>
          </w14:checkbox>
        </w:sdtPr>
        <w:sdtContent>
          <w:r>
            <w:rPr>
              <w:rFonts w:ascii="Segoe UI Symbol" w:hAnsi="Segoe UI Symbol" w:cs="Segoe UI Symbol"/>
              <w:lang w:val="fr-CA"/>
            </w:rPr>
            <w:t>☐</w:t>
          </w:r>
        </w:sdtContent>
      </w:sdt>
      <w:r>
        <w:rPr>
          <w:lang w:val="fr-CA"/>
        </w:rPr>
        <w:t xml:space="preserve"> Bouche-à-oreille</w:t>
      </w:r>
    </w:p>
    <w:p>
      <w:pPr>
        <w:pStyle w:val="Desc-section"/>
        <w:rPr>
          <w:lang w:val="fr-CA"/>
        </w:rPr>
      </w:pPr>
      <w:sdt>
        <w:sdtPr>
          <w:rPr>
            <w:lang w:val="fr-CA"/>
          </w:rPr>
          <w:id w:val="-1496338628"/>
          <w14:checkbox>
            <w14:checked w14:val="0"/>
            <w14:checkedState w14:val="2612" w14:font="MS Gothic"/>
            <w14:uncheckedState w14:val="2610" w14:font="MS Gothic"/>
          </w14:checkbox>
        </w:sdtPr>
        <w:sdtContent>
          <w:r>
            <w:rPr>
              <w:rFonts w:ascii="Segoe UI Symbol" w:hAnsi="Segoe UI Symbol" w:cs="Segoe UI Symbol"/>
              <w:lang w:val="fr-CA"/>
            </w:rPr>
            <w:t>☐</w:t>
          </w:r>
        </w:sdtContent>
      </w:sdt>
      <w:r>
        <w:rPr>
          <w:lang w:val="fr-CA"/>
        </w:rPr>
        <w:t xml:space="preserve"> Publications (ex. article, article de données, etc.)</w:t>
      </w:r>
    </w:p>
    <w:p>
      <w:pPr>
        <w:pStyle w:val="Desc-section"/>
        <w:rPr>
          <w:lang w:val="fr-CA"/>
        </w:rPr>
      </w:pPr>
      <w:sdt>
        <w:sdtPr>
          <w:rPr>
            <w:lang w:val="fr-CA"/>
          </w:rPr>
          <w:id w:val="1971315624"/>
          <w14:checkbox>
            <w14:checked w14:val="0"/>
            <w14:checkedState w14:val="2612" w14:font="MS Gothic"/>
            <w14:uncheckedState w14:val="2610" w14:font="MS Gothic"/>
          </w14:checkbox>
        </w:sdtPr>
        <w:sdtContent>
          <w:r>
            <w:rPr>
              <w:rFonts w:ascii="Segoe UI Symbol" w:hAnsi="Segoe UI Symbol" w:cs="Segoe UI Symbol"/>
              <w:lang w:val="fr-CA"/>
            </w:rPr>
            <w:t>☐</w:t>
          </w:r>
        </w:sdtContent>
      </w:sdt>
      <w:r>
        <w:rPr>
          <w:lang w:val="fr-CA"/>
        </w:rPr>
        <w:t xml:space="preserve"> Conférences</w:t>
      </w:r>
    </w:p>
    <w:p>
      <w:pPr>
        <w:pStyle w:val="Desc-section"/>
        <w:rPr>
          <w:lang w:val="fr-CA"/>
        </w:rPr>
      </w:pPr>
      <w:sdt>
        <w:sdtPr>
          <w:rPr>
            <w:lang w:val="fr-CA"/>
          </w:rPr>
          <w:id w:val="742925038"/>
          <w14:checkbox>
            <w14:checked w14:val="0"/>
            <w14:checkedState w14:val="2612" w14:font="MS Gothic"/>
            <w14:uncheckedState w14:val="2610" w14:font="MS Gothic"/>
          </w14:checkbox>
        </w:sdtPr>
        <w:sdtContent>
          <w:r>
            <w:rPr>
              <w:rFonts w:ascii="Segoe UI Symbol" w:hAnsi="Segoe UI Symbol" w:cs="Segoe UI Symbol"/>
              <w:lang w:val="fr-CA"/>
            </w:rPr>
            <w:t>☐</w:t>
          </w:r>
        </w:sdtContent>
      </w:sdt>
      <w:r>
        <w:rPr>
          <w:lang w:val="fr-CA"/>
        </w:rPr>
        <w:t xml:space="preserve"> Réseaux sociaux (ex. ORCID, Twitter, LinkedIn, </w:t>
      </w:r>
      <w:proofErr w:type="spellStart"/>
      <w:r>
        <w:rPr>
          <w:lang w:val="fr-CA"/>
        </w:rPr>
        <w:t>ResearchGate</w:t>
      </w:r>
      <w:proofErr w:type="spellEnd"/>
      <w:r>
        <w:rPr>
          <w:lang w:val="fr-CA"/>
        </w:rPr>
        <w:t>, Google Scholar, etc.)</w:t>
      </w:r>
    </w:p>
    <w:p>
      <w:pPr>
        <w:pStyle w:val="Desc-section"/>
        <w:rPr>
          <w:lang w:val="fr-CA"/>
        </w:rPr>
      </w:pPr>
      <w:sdt>
        <w:sdtPr>
          <w:rPr>
            <w:lang w:val="fr-CA"/>
          </w:rPr>
          <w:id w:val="1306897727"/>
          <w14:checkbox>
            <w14:checked w14:val="0"/>
            <w14:checkedState w14:val="2612" w14:font="MS Gothic"/>
            <w14:uncheckedState w14:val="2610" w14:font="MS Gothic"/>
          </w14:checkbox>
        </w:sdtPr>
        <w:sdtContent>
          <w:r>
            <w:rPr>
              <w:rFonts w:ascii="Segoe UI Symbol" w:hAnsi="Segoe UI Symbol" w:cs="Segoe UI Symbol"/>
              <w:lang w:val="fr-CA"/>
            </w:rPr>
            <w:t>☐</w:t>
          </w:r>
        </w:sdtContent>
      </w:sdt>
      <w:r>
        <w:rPr>
          <w:lang w:val="fr-CA"/>
        </w:rPr>
        <w:t xml:space="preserve"> Autre :</w:t>
      </w:r>
    </w:p>
    <w:p>
      <w:pPr>
        <w:pStyle w:val="EspaceentreQDirectives"/>
        <w:rPr>
          <w:lang w:val="fr-CA"/>
        </w:rPr>
      </w:pPr>
    </w:p>
    <w:p>
      <w:pPr>
        <w:pStyle w:val="Directives-intitul"/>
        <w:rPr>
          <w:lang w:val="fr-CA"/>
        </w:rPr>
      </w:pPr>
      <w:r>
        <w:rPr>
          <w:lang w:val="fr-CA"/>
        </w:rPr>
        <w:t>Directives</w:t>
      </w:r>
    </w:p>
    <w:p>
      <w:pPr>
        <w:pStyle w:val="Directives-corps"/>
        <w:rPr>
          <w:lang w:val="fr-CA"/>
        </w:rPr>
      </w:pPr>
      <w:r>
        <w:rPr>
          <w:lang w:val="fr-CA"/>
        </w:rPr>
        <w:t>Précisez vos choix.</w:t>
      </w:r>
    </w:p>
    <w:p>
      <w:pPr>
        <w:pStyle w:val="Directives-corps"/>
        <w:rPr>
          <w:lang w:val="fr-CA"/>
        </w:rPr>
      </w:pPr>
      <w:r>
        <w:rPr>
          <w:lang w:val="fr-CA"/>
        </w:rPr>
        <w:t>Comment pourra-t-on accéder aux données (service Web, ftp, etc.)? Dans la mesure du possible, choisissez un dépôt qui attribuera un identifiant pérenne (comme un DOI, Digital Object Identifier) à votre ensemble de données. Cela permettra ainsi d’assurer un accès stable à l’ensemble de données et il pourra être repérable par l’entremise de divers outils de recherche.</w:t>
      </w:r>
    </w:p>
    <w:p>
      <w:pPr>
        <w:pStyle w:val="Directives-corps"/>
        <w:rPr>
          <w:lang w:val="fr-CA"/>
        </w:rPr>
      </w:pPr>
      <w:r>
        <w:rPr>
          <w:lang w:val="fr-CA"/>
        </w:rPr>
        <w:t>Une des meilleures façons d’orienter d’autres chercheurs vers vos ensembles de données déposés consiste à les citer de la même façon que d’autres types de publications (articles, livres, procédures). Veuillez noter que certains dépôts de données établissent également des liens entre les ensembles de données et les articles connexes, ce qui accroît ainsi la visibilité des publications.</w:t>
      </w:r>
    </w:p>
    <w:p>
      <w:pPr>
        <w:pStyle w:val="Directives-corps"/>
        <w:rPr>
          <w:lang w:val="fr-CA"/>
        </w:rPr>
      </w:pPr>
      <w:r>
        <w:rPr>
          <w:lang w:val="fr-CA"/>
        </w:rPr>
        <w:t xml:space="preserve">Il existe aujourd’hui quelques dizaines de revues de données, soit des revues savantes composées d’articles généralement évalués par les pairs présentant des jeux de données. Ce type d’article est aussi de plus en plus courant dans des revues savantes traditionnelles. La publication d’un </w:t>
      </w:r>
      <w:r>
        <w:rPr>
          <w:b/>
          <w:bCs/>
          <w:lang w:val="fr-CA"/>
        </w:rPr>
        <w:t>article de données</w:t>
      </w:r>
      <w:r>
        <w:rPr>
          <w:lang w:val="fr-CA"/>
        </w:rPr>
        <w:t xml:space="preserve"> permet notamment de publiciser l’existence de vos données sans publier publiquement votre jeu de données.</w:t>
      </w:r>
    </w:p>
    <w:p>
      <w:pPr>
        <w:pStyle w:val="Directives-corps"/>
        <w:rPr>
          <w:lang w:val="fr-CA"/>
        </w:rPr>
      </w:pPr>
      <w:hyperlink r:id="rId48">
        <w:proofErr w:type="spellStart"/>
        <w:r>
          <w:rPr>
            <w:rStyle w:val="Lienhypertexte"/>
            <w:bCs/>
            <w:lang w:val="fr-CA"/>
          </w:rPr>
          <w:t>Borealis</w:t>
        </w:r>
        <w:proofErr w:type="spellEnd"/>
      </w:hyperlink>
      <w:r>
        <w:rPr>
          <w:lang w:val="fr-CA"/>
        </w:rPr>
        <w:t xml:space="preserve">, aussi appelé le </w:t>
      </w:r>
      <w:proofErr w:type="spellStart"/>
      <w:r>
        <w:rPr>
          <w:lang w:val="fr-CA"/>
        </w:rPr>
        <w:t>Dataverse</w:t>
      </w:r>
      <w:proofErr w:type="spellEnd"/>
      <w:r>
        <w:rPr>
          <w:lang w:val="fr-CA"/>
        </w:rPr>
        <w:t xml:space="preserve"> canadien, est un dépôt de données généraliste où vous pouvez verser vos données de recherche </w:t>
      </w:r>
      <w:r>
        <w:rPr>
          <w:b/>
          <w:bCs/>
          <w:lang w:val="fr-CA"/>
        </w:rPr>
        <w:t>si elles ne contiennent aucune information susceptible d’identifier vos participants</w:t>
      </w:r>
      <w:r>
        <w:rPr>
          <w:lang w:val="fr-CA"/>
        </w:rPr>
        <w:t xml:space="preserve">. En naviguant ce dépôt, vous serez en mesure d’établir si l’institution à laquelle vous êtes affiliés détient un espace de dépôt sur </w:t>
      </w:r>
      <w:proofErr w:type="spellStart"/>
      <w:r>
        <w:rPr>
          <w:lang w:val="fr-CA"/>
        </w:rPr>
        <w:t>Borealis</w:t>
      </w:r>
      <w:proofErr w:type="spellEnd"/>
      <w:r>
        <w:rPr>
          <w:lang w:val="fr-CA"/>
        </w:rPr>
        <w:t xml:space="preserve">. Vous pouvez également consulter </w:t>
      </w:r>
      <w:hyperlink r:id="rId49">
        <w:r>
          <w:rPr>
            <w:rStyle w:val="Lienhypertexte"/>
            <w:bCs/>
            <w:lang w:val="fr-CA"/>
          </w:rPr>
          <w:t>Re3data</w:t>
        </w:r>
      </w:hyperlink>
      <w:r>
        <w:rPr>
          <w:lang w:val="fr-CA"/>
        </w:rPr>
        <w:t xml:space="preserve"> pour découvrir des dépôts de données spécifiques à votre discipline.</w:t>
      </w:r>
    </w:p>
    <w:p>
      <w:pPr>
        <w:pStyle w:val="EspaceentreQDirectives"/>
        <w:rPr>
          <w:lang w:val="fr-CA"/>
        </w:rPr>
      </w:pPr>
    </w:p>
    <w:p>
      <w:pPr>
        <w:pStyle w:val="Ress-intitul"/>
        <w:rPr>
          <w:lang w:val="fr-CA"/>
        </w:rPr>
      </w:pPr>
      <w:r>
        <w:rPr>
          <w:lang w:val="fr-CA"/>
        </w:rPr>
        <w:t>Ressources</w:t>
      </w:r>
    </w:p>
    <w:p>
      <w:pPr>
        <w:pStyle w:val="Exemple-corps"/>
        <w:rPr>
          <w:lang w:val="fr-CA"/>
        </w:rPr>
      </w:pPr>
      <w:hyperlink r:id="rId50">
        <w:r>
          <w:rPr>
            <w:rStyle w:val="Lienhypertexte"/>
            <w:lang w:val="fr-CA"/>
          </w:rPr>
          <w:t>Comment citer un jeu de données</w:t>
        </w:r>
      </w:hyperlink>
      <w:r>
        <w:rPr>
          <w:lang w:val="fr-CA"/>
        </w:rPr>
        <w:t>, un guide du Digital Curation Centre (en anglais)</w:t>
      </w:r>
    </w:p>
    <w:p>
      <w:pPr>
        <w:pStyle w:val="Exemple-corps"/>
        <w:rPr>
          <w:b/>
          <w:lang w:val="fr-CA"/>
        </w:rPr>
      </w:pPr>
      <w:hyperlink r:id="rId51">
        <w:r>
          <w:rPr>
            <w:rStyle w:val="Lienhypertexte"/>
            <w:lang w:val="fr-CA"/>
          </w:rPr>
          <w:t>Qu’est-ce qu’un article de données?</w:t>
        </w:r>
      </w:hyperlink>
      <w:r>
        <w:rPr>
          <w:lang w:val="fr-CA"/>
        </w:rPr>
        <w:t>, un guide du CIRAD</w:t>
      </w:r>
    </w:p>
    <w:p>
      <w:pPr>
        <w:pStyle w:val="Exemple-corps"/>
        <w:rPr>
          <w:lang w:val="fr-CA"/>
        </w:rPr>
      </w:pPr>
      <w:hyperlink r:id="rId52">
        <w:r>
          <w:rPr>
            <w:rStyle w:val="Lienhypertexte"/>
            <w:lang w:val="fr-CA"/>
          </w:rPr>
          <w:t>Identifiants pérennes</w:t>
        </w:r>
      </w:hyperlink>
      <w:r>
        <w:rPr>
          <w:lang w:val="fr-CA"/>
        </w:rPr>
        <w:t xml:space="preserve">, un guide de </w:t>
      </w:r>
      <w:proofErr w:type="spellStart"/>
      <w:r>
        <w:rPr>
          <w:lang w:val="fr-CA"/>
        </w:rPr>
        <w:t>DORANum</w:t>
      </w:r>
      <w:proofErr w:type="spellEnd"/>
    </w:p>
    <w:p>
      <w:pPr>
        <w:pStyle w:val="EspaceentreQDirectives"/>
        <w:rPr>
          <w:lang w:val="fr-CA"/>
        </w:rPr>
      </w:pPr>
    </w:p>
    <w:p>
      <w:pPr>
        <w:pStyle w:val="Exemple-intitul"/>
        <w:rPr>
          <w:lang w:val="fr-CA"/>
        </w:rPr>
      </w:pPr>
      <w:r>
        <w:rPr>
          <w:lang w:val="fr-CA"/>
        </w:rPr>
        <w:t>Exemple</w:t>
      </w:r>
    </w:p>
    <w:p>
      <w:pPr>
        <w:pStyle w:val="Exemple-corps"/>
        <w:rPr>
          <w:lang w:val="fr-CA"/>
        </w:rPr>
      </w:pPr>
      <w:sdt>
        <w:sdtPr>
          <w:id w:val="-508748853"/>
          <w14:checkbox>
            <w14:checked w14:val="1"/>
            <w14:checkedState w14:val="2612" w14:font="MS Gothic"/>
            <w14:uncheckedState w14:val="2610" w14:font="MS Gothic"/>
          </w14:checkbox>
        </w:sdtPr>
        <w:sdtContent>
          <w:r>
            <w:rPr>
              <w:rFonts w:ascii="Segoe UI Symbol" w:hAnsi="Segoe UI Symbol"/>
            </w:rPr>
            <w:t>☒</w:t>
          </w:r>
        </w:sdtContent>
      </w:sdt>
      <w:r>
        <w:rPr>
          <w:lang w:val="fr-CA"/>
        </w:rPr>
        <w:t xml:space="preserve"> Dépôt spécifique au domaine d’étude (ex. Repéré sur re3data)</w:t>
      </w:r>
    </w:p>
    <w:p>
      <w:pPr>
        <w:pStyle w:val="Exemple-corps"/>
        <w:rPr>
          <w:lang w:val="fr-CA"/>
        </w:rPr>
      </w:pPr>
      <w:sdt>
        <w:sdtPr>
          <w:id w:val="-289434226"/>
          <w14:checkbox>
            <w14:checked w14:val="1"/>
            <w14:checkedState w14:val="2612" w14:font="MS Gothic"/>
            <w14:uncheckedState w14:val="2610" w14:font="MS Gothic"/>
          </w14:checkbox>
        </w:sdtPr>
        <w:sdtContent>
          <w:r>
            <w:rPr>
              <w:rFonts w:ascii="Segoe UI Symbol" w:hAnsi="Segoe UI Symbol"/>
            </w:rPr>
            <w:t>☒</w:t>
          </w:r>
        </w:sdtContent>
      </w:sdt>
      <w:r>
        <w:rPr>
          <w:lang w:val="fr-CA"/>
        </w:rPr>
        <w:t xml:space="preserve"> Publications (ex. article, article de données, etc.)</w:t>
      </w:r>
    </w:p>
    <w:p>
      <w:pPr>
        <w:pStyle w:val="Exemple-corps"/>
        <w:rPr>
          <w:lang w:val="fr-CA"/>
        </w:rPr>
      </w:pPr>
      <w:sdt>
        <w:sdtPr>
          <w:id w:val="792324213"/>
          <w14:checkbox>
            <w14:checked w14:val="1"/>
            <w14:checkedState w14:val="2612" w14:font="MS Gothic"/>
            <w14:uncheckedState w14:val="2610" w14:font="MS Gothic"/>
          </w14:checkbox>
        </w:sdtPr>
        <w:sdtContent>
          <w:r>
            <w:rPr>
              <w:rFonts w:ascii="Segoe UI Symbol" w:hAnsi="Segoe UI Symbol"/>
            </w:rPr>
            <w:t>☒</w:t>
          </w:r>
        </w:sdtContent>
      </w:sdt>
      <w:r>
        <w:rPr>
          <w:lang w:val="fr-CA"/>
        </w:rPr>
        <w:t xml:space="preserve"> Réseaux sociaux (ex. ORCID, Twitter, LinkedIn, </w:t>
      </w:r>
      <w:proofErr w:type="spellStart"/>
      <w:r>
        <w:rPr>
          <w:lang w:val="fr-CA"/>
        </w:rPr>
        <w:t>ResearchGate</w:t>
      </w:r>
      <w:proofErr w:type="spellEnd"/>
      <w:r>
        <w:rPr>
          <w:lang w:val="fr-CA"/>
        </w:rPr>
        <w:t>, Google Scholar, etc.)</w:t>
      </w:r>
    </w:p>
    <w:p>
      <w:pPr>
        <w:pStyle w:val="Exemple-corps"/>
        <w:rPr>
          <w:lang w:val="fr-CA"/>
        </w:rPr>
      </w:pPr>
      <w:r>
        <w:rPr>
          <w:lang w:val="fr-CA"/>
        </w:rPr>
        <w:lastRenderedPageBreak/>
        <w:t xml:space="preserve">Un Digital Object Identifier (DOI) a été créé pour cet ensemble de données avec l’aide de </w:t>
      </w:r>
      <w:proofErr w:type="spellStart"/>
      <w:r>
        <w:rPr>
          <w:lang w:val="fr-CA"/>
        </w:rPr>
        <w:t>DataCite</w:t>
      </w:r>
      <w:proofErr w:type="spellEnd"/>
      <w:r>
        <w:rPr>
          <w:lang w:val="fr-CA"/>
        </w:rPr>
        <w:t xml:space="preserve"> Canada. Tel que mentionné à la question 4.1, nous planifions publier un article de données pour publiciser l’existence de nos données.</w:t>
      </w:r>
    </w:p>
    <w:p>
      <w:pPr>
        <w:pStyle w:val="Exemple-corps"/>
        <w:rPr>
          <w:lang w:val="fr-CA"/>
        </w:rPr>
      </w:pPr>
      <w:r>
        <w:rPr>
          <w:lang w:val="fr-CA"/>
        </w:rPr>
        <w:t>Une partie des données (les réponses aux sondages et les transcriptions des entrevues anonymisées) seront publiées dans un dépôt disciplinaire.</w:t>
      </w:r>
    </w:p>
    <w:p>
      <w:pPr>
        <w:pStyle w:val="Exemple-corps"/>
        <w:rPr>
          <w:lang w:val="fr-CA"/>
        </w:rPr>
      </w:pPr>
      <w:r>
        <w:rPr>
          <w:lang w:val="fr-CA"/>
        </w:rPr>
        <w:t>Les données seront également publicisées sur les comptes ORCID des chercheurs impliqués lorsque nos résultats auront été publiés.</w:t>
      </w:r>
    </w:p>
    <w:p>
      <w:pPr>
        <w:rPr>
          <w:rFonts w:eastAsiaTheme="majorEastAsia" w:cs="Arial"/>
          <w:b/>
          <w:bCs/>
          <w:sz w:val="28"/>
          <w:szCs w:val="26"/>
        </w:rPr>
      </w:pPr>
      <w:r>
        <w:br w:type="page"/>
      </w:r>
    </w:p>
    <w:p>
      <w:pPr>
        <w:pStyle w:val="Titre1CRACHUSJ"/>
        <w:numPr>
          <w:ilvl w:val="0"/>
          <w:numId w:val="27"/>
        </w:numPr>
      </w:pPr>
      <w:bookmarkStart w:id="27" w:name="_Toc208419171"/>
      <w:bookmarkStart w:id="28" w:name="_Toc210032668"/>
      <w:r>
        <w:lastRenderedPageBreak/>
        <w:t>Responsabilités et ressources</w:t>
      </w:r>
      <w:bookmarkEnd w:id="27"/>
      <w:bookmarkEnd w:id="28"/>
    </w:p>
    <w:p>
      <w:pPr>
        <w:pStyle w:val="Desc-section"/>
        <w:rPr>
          <w:lang w:val="fr-CA"/>
        </w:rPr>
      </w:pPr>
      <w:r>
        <w:rPr>
          <w:lang w:val="fr-CA"/>
        </w:rPr>
        <w:t>La notion de gestion des données fait référence au « quoi » et au « comment » des opérations de gestion liées aux données tout au long du cycle de vie du projet.</w:t>
      </w:r>
    </w:p>
    <w:p>
      <w:pPr>
        <w:pStyle w:val="Desc-section"/>
        <w:rPr>
          <w:lang w:val="fr-CA"/>
        </w:rPr>
      </w:pPr>
      <w:r>
        <w:rPr>
          <w:lang w:val="fr-CA"/>
        </w:rPr>
        <w:t>La notion d’intendance des données met plutôt l’accent sur « qui » est responsable de s’assurer que la gestion des données soit faite.</w:t>
      </w:r>
    </w:p>
    <w:p>
      <w:pPr>
        <w:pStyle w:val="Desc-section"/>
        <w:rPr>
          <w:lang w:val="fr-CA"/>
        </w:rPr>
      </w:pPr>
      <w:r>
        <w:rPr>
          <w:lang w:val="fr-CA"/>
        </w:rPr>
        <w:t>Un gros projet de recherche aura par exemple plusieurs personnes responsables. Le chercheur principal devra déterminer en début du projet quelles personnes de l’équipe auront des responsabilités en matière de gestion des données pendant et après le projet.</w:t>
      </w:r>
    </w:p>
    <w:p/>
    <w:p>
      <w:pPr>
        <w:pStyle w:val="Question-PGD"/>
        <w:rPr>
          <w:lang w:val="fr-CA"/>
        </w:rPr>
      </w:pPr>
      <w:r>
        <w:rPr>
          <w:lang w:val="fr-CA"/>
        </w:rPr>
        <w:t>6.1 Désignez qui sera responsable de la gestion des données pendant et après le projet et les principales tâches de gestion des données dont cette personne sera responsable.</w:t>
      </w:r>
    </w:p>
    <w:p>
      <w:pPr>
        <w:pStyle w:val="EspaceentreQDirectives"/>
        <w:rPr>
          <w:lang w:val="fr-CA"/>
        </w:rPr>
      </w:pPr>
    </w:p>
    <w:p>
      <w:pPr>
        <w:pStyle w:val="Directives-intitul"/>
        <w:rPr>
          <w:lang w:val="fr-CA"/>
        </w:rPr>
      </w:pPr>
      <w:r>
        <w:rPr>
          <w:lang w:val="fr-CA"/>
        </w:rPr>
        <w:t>Directives</w:t>
      </w:r>
    </w:p>
    <w:p>
      <w:pPr>
        <w:pStyle w:val="Directives-corps"/>
        <w:rPr>
          <w:lang w:val="fr-CA"/>
        </w:rPr>
      </w:pPr>
      <w:r>
        <w:rPr>
          <w:lang w:val="fr-CA"/>
        </w:rPr>
        <w:t xml:space="preserve">Votre plan de gestion des données vous a permis d’identifier les activités importantes relatives à la gestion des données dans le cadre de votre projet. </w:t>
      </w:r>
    </w:p>
    <w:p>
      <w:pPr>
        <w:pStyle w:val="Directives-corps"/>
        <w:rPr>
          <w:lang w:val="fr-CA"/>
        </w:rPr>
      </w:pPr>
      <w:r>
        <w:rPr>
          <w:lang w:val="fr-CA"/>
        </w:rPr>
        <w:t>Indiquez les responsables, personnes ou organisations, de la mise en place et de la mise à jour du plan de gestion des données, ainsi que leurs affiliations et coordonnées s’il y a lieu.</w:t>
      </w:r>
    </w:p>
    <w:p>
      <w:pPr>
        <w:pStyle w:val="Directives-corps"/>
        <w:rPr>
          <w:lang w:val="fr-CA"/>
        </w:rPr>
      </w:pPr>
      <w:r>
        <w:rPr>
          <w:lang w:val="fr-CA"/>
        </w:rPr>
        <w:t>Mentionnez également tout outil ou formation nécessaires afin de préparer le personnel à assumer ces fonctions.</w:t>
      </w:r>
    </w:p>
    <w:p>
      <w:pPr>
        <w:pStyle w:val="EspaceentreQDirectives"/>
        <w:rPr>
          <w:lang w:val="fr-CA"/>
        </w:rPr>
      </w:pPr>
    </w:p>
    <w:p>
      <w:pPr>
        <w:pStyle w:val="Exemple-intitul"/>
        <w:rPr>
          <w:lang w:val="fr-CA"/>
        </w:rPr>
      </w:pPr>
      <w:r>
        <w:rPr>
          <w:lang w:val="fr-CA"/>
        </w:rPr>
        <w:t>Exemple</w:t>
      </w:r>
    </w:p>
    <w:p>
      <w:pPr>
        <w:pStyle w:val="Exemple-corps"/>
        <w:rPr>
          <w:lang w:val="fr-CA"/>
        </w:rPr>
      </w:pPr>
      <w:r>
        <w:rPr>
          <w:lang w:val="fr-CA"/>
        </w:rPr>
        <w:t xml:space="preserve">Jean Tremblay, PhD, de l’Université de Montréal, sera la personne responsable de la mise en place et de la mise à jour de ce plan de gestion de données. Il sera également le point de contact pour toute question liée aux données de recherche. En tant que chercheur principal, il aura la responsabilité d’évaluer les besoins en formation des chercheurs impliqués. Vous pouvez le contacter à </w:t>
      </w:r>
      <w:hyperlink r:id="rId53" w:history="1">
        <w:r>
          <w:rPr>
            <w:rStyle w:val="Lienhypertexte"/>
            <w:lang w:val="fr-CA"/>
          </w:rPr>
          <w:t>jean.tremblay.hsj@ssss.gouv.qc.ca</w:t>
        </w:r>
      </w:hyperlink>
      <w:r>
        <w:rPr>
          <w:lang w:val="fr-CA"/>
        </w:rPr>
        <w:t>.</w:t>
      </w:r>
    </w:p>
    <w:p/>
    <w:p>
      <w:pPr>
        <w:pStyle w:val="Question-PGD"/>
        <w:rPr>
          <w:lang w:val="fr-CA"/>
        </w:rPr>
      </w:pPr>
      <w:r>
        <w:rPr>
          <w:lang w:val="fr-CA"/>
        </w:rPr>
        <w:t>6.2 De quelle façon allez-vous administrer les responsabilités quant aux activités de gestion des données s’il y a des changements importants de personnel, notamment un changement de chercheur principal?</w:t>
      </w:r>
    </w:p>
    <w:p>
      <w:pPr>
        <w:pStyle w:val="EspaceentreQDirectives"/>
        <w:rPr>
          <w:lang w:val="fr-CA"/>
        </w:rPr>
      </w:pPr>
    </w:p>
    <w:p>
      <w:pPr>
        <w:pStyle w:val="Directives-intitul"/>
        <w:rPr>
          <w:lang w:val="fr-CA"/>
        </w:rPr>
      </w:pPr>
      <w:r>
        <w:rPr>
          <w:lang w:val="fr-CA"/>
        </w:rPr>
        <w:t>Directives</w:t>
      </w:r>
    </w:p>
    <w:p>
      <w:pPr>
        <w:pStyle w:val="Directives-corps"/>
        <w:rPr>
          <w:lang w:val="fr-CA"/>
        </w:rPr>
      </w:pPr>
      <w:r>
        <w:rPr>
          <w:lang w:val="fr-CA"/>
        </w:rPr>
        <w:t>Comme les changements au sein des équipes de recherche sont communs, assurez-vous que les membres de votre équipe soient prêts à prendre la responsabilité du plan de gestion de données et à s’assurer qu’il est mis à jour régulièrement.</w:t>
      </w:r>
    </w:p>
    <w:p>
      <w:pPr>
        <w:pStyle w:val="Directives-corps"/>
        <w:rPr>
          <w:lang w:val="fr-CA"/>
        </w:rPr>
      </w:pPr>
      <w:r>
        <w:rPr>
          <w:lang w:val="fr-CA"/>
        </w:rPr>
        <w:t>Indiquez une stratégie de planification de la relève pour ces données dans l’éventualité où une ou plusieurs personnes responsables des données quittent le projet (par exemple, un étudiant aux cycles supérieurs qui quitte après l’obtention de son diplôme).</w:t>
      </w:r>
    </w:p>
    <w:p>
      <w:pPr>
        <w:pStyle w:val="Directives-corps"/>
        <w:rPr>
          <w:lang w:val="fr-CA"/>
        </w:rPr>
      </w:pPr>
      <w:r>
        <w:rPr>
          <w:lang w:val="fr-CA"/>
        </w:rPr>
        <w:t xml:space="preserve">Décrivez le processus à suivre dans l’éventualité où le chercheur principal quitte le projet. Dans certains cas, un </w:t>
      </w:r>
      <w:proofErr w:type="spellStart"/>
      <w:r>
        <w:rPr>
          <w:lang w:val="fr-CA"/>
        </w:rPr>
        <w:t>co</w:t>
      </w:r>
      <w:proofErr w:type="spellEnd"/>
      <w:r>
        <w:rPr>
          <w:lang w:val="fr-CA"/>
        </w:rPr>
        <w:t>-chercheur, le département ou la division qui supervise cette recherche en assumera la responsabilité.</w:t>
      </w:r>
    </w:p>
    <w:p>
      <w:pPr>
        <w:pStyle w:val="Directives-corps"/>
        <w:rPr>
          <w:lang w:val="fr-CA"/>
        </w:rPr>
      </w:pPr>
      <w:r>
        <w:rPr>
          <w:lang w:val="fr-CA"/>
        </w:rPr>
        <w:t>Dépendamment de la complexité de votre projet, vous pouvez insérer un tableau indiquant le nom et l’affiliation des responsables, leur rôle dans le projet, leurs tâches de gestion des données de recherche et le plan de relève si cette personne devait quitter l’équipe.</w:t>
      </w:r>
    </w:p>
    <w:p>
      <w:pPr>
        <w:pStyle w:val="EspaceentreQDirectives"/>
        <w:rPr>
          <w:lang w:val="fr-CA"/>
        </w:rPr>
      </w:pPr>
    </w:p>
    <w:p>
      <w:pPr>
        <w:pStyle w:val="Exemple-intitul"/>
        <w:rPr>
          <w:lang w:val="fr-CA"/>
        </w:rPr>
      </w:pPr>
      <w:r>
        <w:rPr>
          <w:lang w:val="fr-CA"/>
        </w:rPr>
        <w:lastRenderedPageBreak/>
        <w:t>Exemple</w:t>
      </w:r>
    </w:p>
    <w:p>
      <w:pPr>
        <w:pStyle w:val="Exemple-corps"/>
        <w:rPr>
          <w:lang w:val="fr-CA"/>
        </w:rPr>
      </w:pPr>
      <w:r>
        <w:rPr>
          <w:lang w:val="fr-CA"/>
        </w:rPr>
        <w:t>Si Dr Tremblay devait quitter le projet, ses responsabilités concernant le plan de gestion de données seraient confiées à Guillaume Dion.</w:t>
      </w:r>
    </w:p>
    <w:p>
      <w:pPr>
        <w:pStyle w:val="Exemple-corps"/>
        <w:rPr>
          <w:lang w:val="fr-CA"/>
        </w:rPr>
      </w:pPr>
      <w:r>
        <w:rPr>
          <w:lang w:val="fr-CA"/>
        </w:rPr>
        <w:t>Si jamais ces deux personnes ne sont pas capables de remplir leurs responsabilités, un autre membre de l’équipe sera chargé de superviser la mise en place du plan de gestion de données, avec l’accord de l’équipe de recherche.</w:t>
      </w:r>
    </w:p>
    <w:p/>
    <w:p>
      <w:pPr>
        <w:pStyle w:val="Question-PGD"/>
        <w:rPr>
          <w:lang w:val="fr-CA"/>
        </w:rPr>
      </w:pPr>
      <w:r>
        <w:rPr>
          <w:lang w:val="fr-CA"/>
        </w:rPr>
        <w:t>6.3 De quelles ressources aurez-vous besoin pour mettre en œuvre votre plan de gestion des données? À combien estimez-vous le coût global de la gestion des données?</w:t>
      </w:r>
    </w:p>
    <w:p>
      <w:pPr>
        <w:pStyle w:val="EspaceentreQDirectives"/>
        <w:rPr>
          <w:lang w:val="fr-CA"/>
        </w:rPr>
      </w:pPr>
    </w:p>
    <w:p>
      <w:pPr>
        <w:pStyle w:val="Directives-intitul"/>
        <w:rPr>
          <w:lang w:val="fr-CA"/>
        </w:rPr>
      </w:pPr>
      <w:r>
        <w:rPr>
          <w:lang w:val="fr-CA"/>
        </w:rPr>
        <w:t>Directives</w:t>
      </w:r>
    </w:p>
    <w:p>
      <w:pPr>
        <w:pStyle w:val="Directives-corps"/>
        <w:rPr>
          <w:lang w:val="fr-CA"/>
        </w:rPr>
      </w:pPr>
      <w:r>
        <w:rPr>
          <w:lang w:val="fr-CA"/>
        </w:rPr>
        <w:t>Cette évaluation doit comprendre les coûts de gestion des données encourus au cours du projet ainsi que les coûts requis pour le soutien à plus long terme des données après la fin du projet. Les points à considérer dans la dernière catégorie de dépenses comprennent les coûts d’entretien et de prestation d’un accès à long terme aux données.</w:t>
      </w:r>
    </w:p>
    <w:p>
      <w:pPr>
        <w:pStyle w:val="Directives-corps"/>
        <w:rPr>
          <w:lang w:val="fr-CA"/>
        </w:rPr>
      </w:pPr>
      <w:r>
        <w:rPr>
          <w:lang w:val="fr-CA"/>
        </w:rPr>
        <w:t>Certains organismes de financement indiquent de façon explicite le soutien qu’ils fourniront afin de respecter les coûts relatifs à la préparation des données à déposer. Cela peut comprendre les aspects techniques de la gestion de données, les exigences en matière de formation, le stockage et la sauvegarde des fichiers et le travail du personnel ne faisant pas partie du projet.</w:t>
      </w:r>
    </w:p>
    <w:p>
      <w:pPr>
        <w:pStyle w:val="EspaceentreQDirectives"/>
        <w:rPr>
          <w:lang w:val="fr-CA"/>
        </w:rPr>
      </w:pPr>
    </w:p>
    <w:p>
      <w:pPr>
        <w:pStyle w:val="Exemple-intitul"/>
        <w:rPr>
          <w:lang w:val="fr-CA"/>
        </w:rPr>
      </w:pPr>
      <w:r>
        <w:rPr>
          <w:lang w:val="fr-CA"/>
        </w:rPr>
        <w:t>Exemple</w:t>
      </w:r>
    </w:p>
    <w:p>
      <w:pPr>
        <w:pStyle w:val="Exemple-corps"/>
        <w:rPr>
          <w:lang w:val="fr-CA"/>
        </w:rPr>
      </w:pPr>
      <w:r>
        <w:rPr>
          <w:lang w:val="fr-CA"/>
        </w:rPr>
        <w:t>Les coûts associés à la gestion des données de recherche devraient être de l’ordre de 1500 à 2000 dollars canadiens par an (ces coûts comprennent le temps nécessaire pour s’assurer que le PGD soit respecté, le coût du stockage local, etc.) En outre, l’archivage des données à la fin du projet devrait représenter un coût unique de 500 $ CAD.</w:t>
      </w:r>
    </w:p>
    <w:p>
      <w:pPr>
        <w:rPr>
          <w:rFonts w:eastAsiaTheme="majorEastAsia" w:cs="Arial"/>
          <w:b/>
          <w:bCs/>
          <w:sz w:val="28"/>
          <w:szCs w:val="26"/>
        </w:rPr>
      </w:pPr>
      <w:r>
        <w:br w:type="page"/>
      </w:r>
    </w:p>
    <w:p>
      <w:pPr>
        <w:pStyle w:val="Titre1CRACHUSJ"/>
        <w:numPr>
          <w:ilvl w:val="0"/>
          <w:numId w:val="27"/>
        </w:numPr>
      </w:pPr>
      <w:bookmarkStart w:id="29" w:name="_Toc208419172"/>
      <w:bookmarkStart w:id="30" w:name="_Toc210032669"/>
      <w:r>
        <w:lastRenderedPageBreak/>
        <w:t>Conformité éthique et juridique</w:t>
      </w:r>
      <w:bookmarkEnd w:id="29"/>
      <w:bookmarkEnd w:id="30"/>
    </w:p>
    <w:p>
      <w:pPr>
        <w:pStyle w:val="Desc-section"/>
        <w:rPr>
          <w:lang w:val="fr-CA"/>
        </w:rPr>
      </w:pPr>
      <w:r>
        <w:rPr>
          <w:lang w:val="fr-CA"/>
        </w:rPr>
        <w:t>Les chercheurs et chercheuses, ainsi que leurs équipes, doivent connaître les politiques et les processus, éthiques et juridiques, auxquels leur gestion des données de recherche doit se conformer.</w:t>
      </w:r>
    </w:p>
    <w:p>
      <w:pPr>
        <w:pStyle w:val="Desc-section"/>
        <w:rPr>
          <w:lang w:val="fr-CA"/>
        </w:rPr>
      </w:pPr>
      <w:r>
        <w:rPr>
          <w:lang w:val="fr-CA"/>
        </w:rPr>
        <w:t>Dans votre plan de gestion des données, vous devez indiquer la façon dont vous préparerez, stockerez, partagerez et archiverez vos données de façon à vous assurer que les renseignements sur les participants et participantes soient protégés tout au long du cycle de vie de la recherche contre la divulgation, l’utilisation préjudiciable ou les liens inappropriés avec d’autres données personnelles.</w:t>
      </w:r>
    </w:p>
    <w:p>
      <w:pPr>
        <w:pStyle w:val="Desc-section"/>
        <w:rPr>
          <w:lang w:val="fr-CA"/>
        </w:rPr>
      </w:pPr>
      <w:r>
        <w:rPr>
          <w:lang w:val="fr-CA"/>
        </w:rPr>
        <w:t xml:space="preserve">Il peut arriver des situations où certaines données et métadonnées </w:t>
      </w:r>
      <w:r>
        <w:rPr>
          <w:b/>
          <w:bCs/>
          <w:lang w:val="fr-CA"/>
        </w:rPr>
        <w:t>ne peuvent pas être rendues publiques</w:t>
      </w:r>
      <w:r>
        <w:rPr>
          <w:lang w:val="fr-CA"/>
        </w:rPr>
        <w:t xml:space="preserve"> en raison de politiques ou de considérations légales. Toutefois, dans un esprit de science ouverte, nous vous encourageons à être le plus ouvert possible, tout en considérant la restriction nécessaire pour protéger la confidentialité des participants. Vos organismes subventionnaires pourraient avoir des politiques sur le partage ou le dépôt de vos données de recherche ou d’autres produits de la recherche. Vous avez le devoir de vous informer et de vous préparer à répondre aux exigences en la matière.</w:t>
      </w:r>
    </w:p>
    <w:p/>
    <w:p>
      <w:pPr>
        <w:pStyle w:val="Question-PGD"/>
        <w:rPr>
          <w:lang w:val="fr-CA"/>
        </w:rPr>
      </w:pPr>
      <w:r>
        <w:rPr>
          <w:lang w:val="fr-CA"/>
        </w:rPr>
        <w:t>7.1 Si votre projet comprend des données sensibles, comment vous assurerez-vous qu’il est géré de manière sécuritaire et que les données sont accessibles uniquement aux membres approuvés du projet?</w:t>
      </w:r>
    </w:p>
    <w:p>
      <w:pPr>
        <w:pStyle w:val="EspaceentreQDirectives"/>
        <w:rPr>
          <w:lang w:val="fr-CA"/>
        </w:rPr>
      </w:pPr>
    </w:p>
    <w:p>
      <w:pPr>
        <w:pStyle w:val="Directives-intitul"/>
        <w:rPr>
          <w:lang w:val="fr-CA"/>
        </w:rPr>
      </w:pPr>
      <w:r>
        <w:rPr>
          <w:lang w:val="fr-CA"/>
        </w:rPr>
        <w:t>Directives</w:t>
      </w:r>
    </w:p>
    <w:p>
      <w:pPr>
        <w:pStyle w:val="Directives-corps"/>
        <w:rPr>
          <w:lang w:val="fr-CA"/>
        </w:rPr>
      </w:pPr>
      <w:r>
        <w:rPr>
          <w:lang w:val="fr-CA"/>
        </w:rPr>
        <w:t xml:space="preserve">Examinez où et comment les données sensibles ayant une valeur à long terme reconnue doivent être rendues disponibles et à qui, de même que pendant combien de temps elles doivent être archivées. Ces décisions doivent respecter les exigences du comité d’éthique de la recherche. Les méthodes utilisées pour partager les données dépendront d’un certain nombre de facteurs comme le type, la taille, la complexité et le degré de sensibilité des données. Décrivez les problèmes prévus dans le partage des données, ainsi que les causes et les mesures possibles pour les atténuer. Les problèmes peuvent comprendre, entre autres, la confidentialité, l’absence de consentement ou les préoccupations au sujet des droits de propriété intellectuelle. Dans certains cas, une période d’embargo peut être </w:t>
      </w:r>
      <w:bookmarkStart w:id="31" w:name="_Int_9b1myGCp"/>
      <w:r>
        <w:rPr>
          <w:lang w:val="fr-CA"/>
        </w:rPr>
        <w:t>justifiée</w:t>
      </w:r>
      <w:bookmarkEnd w:id="31"/>
      <w:r>
        <w:rPr>
          <w:lang w:val="fr-CA"/>
        </w:rPr>
        <w:t xml:space="preserve"> par la politique sur les données de recherche d’un organisme de financement.</w:t>
      </w:r>
    </w:p>
    <w:p>
      <w:pPr>
        <w:pStyle w:val="Directives-corps"/>
        <w:rPr>
          <w:lang w:val="fr-CA"/>
        </w:rPr>
      </w:pPr>
      <w:r>
        <w:rPr>
          <w:lang w:val="fr-CA"/>
        </w:rPr>
        <w:t>Des restrictions peuvent être imposées en limitant l’accès physique aux dispositifs de stockage, en enregistrant les données sur des serveurs/ordinateurs qui ne possèdent pas d’accès au réseau externe (c.-à-d. accès à Internet), grâce à une protection par mot de passe, et en codant les fichiers. Les données sensibles exigent une attention particulière lors de l’utilisation de services de stockage infonuagique ou d’outils de partage. Renseignez-vous sur les exigences de votre institution en la matière.</w:t>
      </w:r>
    </w:p>
    <w:p>
      <w:pPr>
        <w:pStyle w:val="EspaceentreQDirectives"/>
        <w:rPr>
          <w:lang w:val="fr-CA"/>
        </w:rPr>
      </w:pPr>
    </w:p>
    <w:p>
      <w:pPr>
        <w:pStyle w:val="Exemple-intitul"/>
        <w:rPr>
          <w:lang w:val="fr-CA"/>
        </w:rPr>
      </w:pPr>
      <w:r>
        <w:rPr>
          <w:lang w:val="fr-CA"/>
        </w:rPr>
        <w:t>Exemple</w:t>
      </w:r>
    </w:p>
    <w:p>
      <w:pPr>
        <w:pStyle w:val="Exemple-corps"/>
        <w:rPr>
          <w:lang w:val="fr-CA"/>
        </w:rPr>
      </w:pPr>
      <w:r>
        <w:rPr>
          <w:lang w:val="fr-CA"/>
        </w:rPr>
        <w:t>L’accès aux données de recherche stockées sur le SharePoint de l’équipe nécessitera une adresse courriel @</w:t>
      </w:r>
      <w:proofErr w:type="spellStart"/>
      <w:r>
        <w:rPr>
          <w:lang w:val="fr-CA"/>
        </w:rPr>
        <w:t>ssss</w:t>
      </w:r>
      <w:proofErr w:type="spellEnd"/>
      <w:r>
        <w:rPr>
          <w:lang w:val="fr-CA"/>
        </w:rPr>
        <w:t xml:space="preserve">, ainsi que la vérification à deux facteurs avec l’application Microsoft </w:t>
      </w:r>
      <w:proofErr w:type="spellStart"/>
      <w:r>
        <w:rPr>
          <w:lang w:val="fr-CA"/>
        </w:rPr>
        <w:t>Authenticator</w:t>
      </w:r>
      <w:proofErr w:type="spellEnd"/>
      <w:r>
        <w:rPr>
          <w:lang w:val="fr-CA"/>
        </w:rPr>
        <w:t>.</w:t>
      </w:r>
    </w:p>
    <w:p>
      <w:pPr>
        <w:pStyle w:val="Exemple-corps"/>
        <w:rPr>
          <w:lang w:val="fr-CA"/>
        </w:rPr>
      </w:pPr>
      <w:r>
        <w:rPr>
          <w:lang w:val="fr-CA"/>
        </w:rPr>
        <w:t>Seuls les utilisateurs disposant d’une adresse courriel institutionnelle du CHU Sainte-Justine, qui ont été vérifiés par le coordinateur du projet, seront autorisés à y accéder.</w:t>
      </w:r>
    </w:p>
    <w:p/>
    <w:p>
      <w:pPr>
        <w:pStyle w:val="Question-PGD"/>
        <w:rPr>
          <w:lang w:val="fr-CA"/>
        </w:rPr>
      </w:pPr>
      <w:r>
        <w:rPr>
          <w:lang w:val="fr-CA"/>
        </w:rPr>
        <w:lastRenderedPageBreak/>
        <w:t>7.2 Quelles stratégies allez-vous mettre en œuvre pour gérer les utilisations secondaires des données sensibles, le cas échéant?</w:t>
      </w:r>
    </w:p>
    <w:p>
      <w:pPr>
        <w:pStyle w:val="EspaceentreQDirectives"/>
        <w:rPr>
          <w:lang w:val="fr-CA"/>
        </w:rPr>
      </w:pPr>
    </w:p>
    <w:p>
      <w:pPr>
        <w:pStyle w:val="Directives-intitul"/>
        <w:rPr>
          <w:lang w:val="fr-CA"/>
        </w:rPr>
      </w:pPr>
      <w:r>
        <w:rPr>
          <w:lang w:val="fr-CA"/>
        </w:rPr>
        <w:t>Directives</w:t>
      </w:r>
    </w:p>
    <w:p>
      <w:pPr>
        <w:pStyle w:val="Directives-corps"/>
        <w:rPr>
          <w:lang w:val="fr-CA"/>
        </w:rPr>
      </w:pPr>
      <w:r>
        <w:rPr>
          <w:lang w:val="fr-CA"/>
        </w:rPr>
        <w:t>L’obtention du consentement approprié des participants de recherche constitue une étape importante pour assurer au comité d’éthique de la recherche que les données de recherche peuvent être partagées avec des chercheurs ne faisant pas partie de votre projet.</w:t>
      </w:r>
    </w:p>
    <w:p>
      <w:pPr>
        <w:pStyle w:val="Directives-corps"/>
        <w:rPr>
          <w:lang w:val="fr-CA"/>
        </w:rPr>
      </w:pPr>
      <w:r>
        <w:rPr>
          <w:lang w:val="fr-CA"/>
        </w:rPr>
        <w:t>La déclaration de consentement peut indiquer certaines conditions précisant l’utilisation des données par d’autres chercheurs. Par exemple, elle peut stipuler que les données seront uniquement partagées à des fins de recherche sans but lucratif ou que les données ne seront pas croisées avec des données personnelles provenant d’autres sources.</w:t>
      </w:r>
    </w:p>
    <w:p>
      <w:pPr>
        <w:pStyle w:val="Directives-corps"/>
        <w:rPr>
          <w:lang w:val="fr-CA"/>
        </w:rPr>
      </w:pPr>
      <w:r>
        <w:rPr>
          <w:lang w:val="fr-CA"/>
        </w:rPr>
        <w:t>Décrivez ici ce qui en est de l’octroi de licences pour utilisation secondaire. Les conditions énoncées pour la réutilisation des données doivent être clairement mentionnées et respecter les exigences juridiques et éthiques pertinentes.</w:t>
      </w:r>
    </w:p>
    <w:p>
      <w:pPr>
        <w:pStyle w:val="EspaceentreQDirectives"/>
        <w:rPr>
          <w:lang w:val="fr-CA"/>
        </w:rPr>
      </w:pPr>
    </w:p>
    <w:p>
      <w:pPr>
        <w:pStyle w:val="Exemple-intitul"/>
        <w:rPr>
          <w:lang w:val="fr-CA"/>
        </w:rPr>
      </w:pPr>
      <w:r>
        <w:rPr>
          <w:lang w:val="fr-CA"/>
        </w:rPr>
        <w:t>Exemple</w:t>
      </w:r>
    </w:p>
    <w:p>
      <w:pPr>
        <w:pStyle w:val="Exemple-corps"/>
        <w:rPr>
          <w:lang w:val="fr-CA"/>
        </w:rPr>
      </w:pPr>
      <w:r>
        <w:rPr>
          <w:lang w:val="fr-CA"/>
        </w:rPr>
        <w:t xml:space="preserve">Le jeu de données nécessaire pour vérifier les résultats sera indexé sur la plateforme de partage de données </w:t>
      </w:r>
      <w:proofErr w:type="spellStart"/>
      <w:r>
        <w:rPr>
          <w:lang w:val="fr-CA"/>
        </w:rPr>
        <w:t>Zenodo</w:t>
      </w:r>
      <w:proofErr w:type="spellEnd"/>
      <w:r>
        <w:rPr>
          <w:lang w:val="fr-CA"/>
        </w:rPr>
        <w:t>. Cet élément d’indexation contiendra des informations bibliographiques, quantitatives et qualitatives de base sur le projet de recherche.</w:t>
      </w:r>
    </w:p>
    <w:p>
      <w:pPr>
        <w:pStyle w:val="Exemple-corps"/>
        <w:rPr>
          <w:lang w:val="fr-CA"/>
        </w:rPr>
      </w:pPr>
      <w:r>
        <w:rPr>
          <w:lang w:val="fr-CA"/>
        </w:rPr>
        <w:t>Pour accéder aux données réelles, les utilisateurs devront contacter le coordinateur de la recherche et donner une description de la manière dont ils prévoient réutiliser les données et signer un accord afin de garantir que les données sont utilisées de manière éthique. Les demandes de réutilisation des données seront évaluées individuellement.</w:t>
      </w:r>
    </w:p>
    <w:p/>
    <w:p>
      <w:pPr>
        <w:pStyle w:val="Question-PGD"/>
        <w:rPr>
          <w:lang w:val="fr-CA"/>
        </w:rPr>
      </w:pPr>
      <w:r>
        <w:rPr>
          <w:lang w:val="fr-CA"/>
        </w:rPr>
        <w:t>7.3 Comment allez-vous gérer les questions juridiques et éthiques?</w:t>
      </w:r>
    </w:p>
    <w:p>
      <w:pPr>
        <w:pStyle w:val="EspaceentreQDirectives"/>
        <w:rPr>
          <w:lang w:val="fr-CA"/>
        </w:rPr>
      </w:pPr>
    </w:p>
    <w:p>
      <w:pPr>
        <w:pStyle w:val="Directives-intitul"/>
        <w:rPr>
          <w:lang w:val="fr-CA"/>
        </w:rPr>
      </w:pPr>
      <w:r>
        <w:rPr>
          <w:lang w:val="fr-CA"/>
        </w:rPr>
        <w:t>Directives</w:t>
      </w:r>
    </w:p>
    <w:p>
      <w:pPr>
        <w:pStyle w:val="Directives-corps"/>
        <w:rPr>
          <w:lang w:val="fr-CA"/>
        </w:rPr>
      </w:pPr>
      <w:r>
        <w:rPr>
          <w:lang w:val="fr-CA"/>
        </w:rPr>
        <w:t>Le respect des règlements et des lois sur la protection de la vie privée qui peuvent imposer des restrictions de contenu dans les données devrait être discuté avec le bureau de la recherche ou le responsable de la protection de la vie privée de votre établissement. L’apport du comité d’éthique de la recherche est aussi essentiel dans ce processus.</w:t>
      </w:r>
    </w:p>
    <w:p>
      <w:pPr>
        <w:pStyle w:val="Directives-corps"/>
        <w:rPr>
          <w:lang w:val="fr-CA"/>
        </w:rPr>
      </w:pPr>
      <w:r>
        <w:rPr>
          <w:lang w:val="fr-CA"/>
        </w:rPr>
        <w:t>Décrivez les mesures prises pour respecter vos obligations légales et éthiques. Cette question couvre le respect des lois sur la vie privée et la protection des données, le consentement éclairé des participants, l’inclusion du Comité d’éthique de la recherche dans vos démarches, les accords contractuels avec des partenaires internes ou externes (p. ex. secteur privé) et les démarches au sein de l’équipe pour aborder ces sujets de manière claire et collective.</w:t>
      </w:r>
    </w:p>
    <w:p>
      <w:pPr>
        <w:pStyle w:val="EspaceentreQDirectives"/>
        <w:rPr>
          <w:lang w:val="fr-CA"/>
        </w:rPr>
      </w:pPr>
    </w:p>
    <w:p>
      <w:pPr>
        <w:pStyle w:val="Exemple-intitul"/>
        <w:rPr>
          <w:lang w:val="fr-CA"/>
        </w:rPr>
      </w:pPr>
      <w:r>
        <w:rPr>
          <w:lang w:val="fr-CA"/>
        </w:rPr>
        <w:t>Exemple</w:t>
      </w:r>
    </w:p>
    <w:p>
      <w:pPr>
        <w:pStyle w:val="Exemple-corps"/>
      </w:pPr>
      <w:r>
        <w:rPr>
          <w:lang w:val="fr-CA"/>
        </w:rPr>
        <w:t xml:space="preserve">Le projet a reçu l’autorisation du comité d’éthique du </w:t>
      </w:r>
      <w:bookmarkStart w:id="32" w:name="_Hlk209603960"/>
      <w:r>
        <w:rPr>
          <w:lang w:val="fr-CA"/>
        </w:rPr>
        <w:t xml:space="preserve">CHU Sainte-Justine </w:t>
      </w:r>
      <w:bookmarkEnd w:id="32"/>
      <w:r>
        <w:rPr>
          <w:lang w:val="fr-CA"/>
        </w:rPr>
        <w:t>avant de commencer. Tout changement, notamment par rapport au stockage, à la préservation et la sécurité des données, sera porté à l’attention du comité afin de résoudre la situation dans les plus brefs délais.</w:t>
      </w:r>
    </w:p>
    <w:sectPr>
      <w:headerReference w:type="default" r:id="rId54"/>
      <w:footerReference w:type="default" r:id="rId55"/>
      <w:pgSz w:w="12240" w:h="15840"/>
      <w:pgMar w:top="1474" w:right="1247" w:bottom="1361" w:left="1247" w:header="709" w:footer="709"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71A9AEF" w16cex:dateUtc="2025-07-23T14:48:00Z">
    <w16cex:extLst>
      <w16:ext w16:uri="{CE6994B0-6A32-4C9F-8C6B-6E91EDA988CE}">
        <cr:reactions xmlns:cr="http://schemas.microsoft.com/office/comments/2020/reactions">
          <cr:reaction reactionType="1">
            <cr:reactionInfo dateUtc="2025-07-24T15:13:41Z">
              <cr:user userId="S::mathilde.sainte-marie.hsj@ssss.gouv.qc.ca::0692835c-6833-44f6-a2d3-04a83e8d3749" userProvider="AD" userName="Mathilde Sainte-Marie (HSJ)"/>
            </cr:reactionInfo>
          </cr:reaction>
        </cr:reactions>
      </w16:ext>
    </w16cex:extLst>
  </w16cex:commentExtensible>
  <w16cex:commentExtensible w16cex:durableId="53DB37AD" w16cex:dateUtc="2025-07-22T18:28:00Z">
    <w16cex:extLst>
      <w16:ext w16:uri="{CE6994B0-6A32-4C9F-8C6B-6E91EDA988CE}">
        <cr:reactions xmlns:cr="http://schemas.microsoft.com/office/comments/2020/reactions">
          <cr:reaction reactionType="1">
            <cr:reactionInfo dateUtc="2025-07-24T16:49:51Z">
              <cr:user userId="S::mathilde.sainte-marie.hsj@ssss.gouv.qc.ca::0692835c-6833-44f6-a2d3-04a83e8d3749" userProvider="AD" userName="Mathilde Sainte-Marie (HSJ)"/>
            </cr:reactionInfo>
          </cr:reaction>
        </cr:reactions>
      </w16:ext>
    </w16cex:extLst>
  </w16cex:commentExtensible>
  <w16cex:commentExtensible w16cex:durableId="1EA296D1" w16cex:dateUtc="2025-07-23T14:33:00Z"/>
  <w16cex:commentExtensible w16cex:durableId="449C89ED" w16cex:dateUtc="2025-07-23T14:35:00Z"/>
  <w16cex:commentExtensible w16cex:durableId="08C49504" w16cex:dateUtc="2025-07-23T14:37:00Z">
    <w16cex:extLst>
      <w16:ext w16:uri="{CE6994B0-6A32-4C9F-8C6B-6E91EDA988CE}">
        <cr:reactions xmlns:cr="http://schemas.microsoft.com/office/comments/2020/reactions">
          <cr:reaction reactionType="1">
            <cr:reactionInfo dateUtc="2025-07-24T16:48:32Z">
              <cr:user userId="S::mathilde.sainte-marie.hsj@ssss.gouv.qc.ca::0692835c-6833-44f6-a2d3-04a83e8d3749" userProvider="AD" userName="Mathilde Sainte-Marie (HSJ)"/>
            </cr:reactionInfo>
          </cr:reaction>
        </cr:reactions>
      </w16:ext>
    </w16cex:extLst>
  </w16cex:commentExtensible>
  <w16cex:commentExtensible w16cex:durableId="40F462E5" w16cex:dateUtc="2025-07-23T14:39:00Z">
    <w16cex:extLst>
      <w16:ext w16:uri="{CE6994B0-6A32-4C9F-8C6B-6E91EDA988CE}">
        <cr:reactions xmlns:cr="http://schemas.microsoft.com/office/comments/2020/reactions">
          <cr:reaction reactionType="1">
            <cr:reactionInfo dateUtc="2025-07-24T16:48:20Z">
              <cr:user userId="S::mathilde.sainte-marie.hsj@ssss.gouv.qc.ca::0692835c-6833-44f6-a2d3-04a83e8d3749" userProvider="AD" userName="Mathilde Sainte-Marie (HSJ)"/>
            </cr:reactionInfo>
          </cr:reaction>
        </cr:reactions>
      </w16:ext>
    </w16cex:extLst>
  </w16cex:commentExtensible>
  <w16cex:commentExtensible w16cex:durableId="4D2BCA0B" w16cex:dateUtc="2025-09-11T20:37:17.3Z"/>
  <w16cex:commentExtensible w16cex:durableId="7CAEA542" w16cex:dateUtc="2025-09-11T20:53:58.184Z">
    <w16cex:extLst>
      <w16:ext w16:uri="{CE6994B0-6A32-4C9F-8C6B-6E91EDA988CE}">
        <cr:reactions xmlns:cr="http://schemas.microsoft.com/office/comments/2020/reactions">
          <cr:reaction reactionType="1">
            <cr:reactionInfo dateUtc="2025-09-12T13:46:45.635Z">
              <cr:user userId="S::mathilde.sainte-marie.hsj@ssss.gouv.qc.ca::0692835c-6833-44f6-a2d3-04a83e8d3749" userProvider="AD" userName="Mathilde Sainte-Marie (HSJ)"/>
            </cr:reactionInfo>
          </cr:reaction>
        </cr:reactions>
      </w16:ext>
    </w16cex:extLst>
  </w16cex:commentExtensible>
  <w16cex:commentExtensible w16cex:durableId="1C1D3A74" w16cex:dateUtc="2025-09-12T20:11:45.289Z"/>
  <w16cex:commentExtensible w16cex:durableId="71884C7C" w16cex:dateUtc="2025-09-12T20:18:37.219Z"/>
  <w16cex:commentExtensible w16cex:durableId="5EAC336B" w16cex:dateUtc="2025-09-11T20:39:59.696Z"/>
  <w16cex:commentExtensible w16cex:durableId="0803FD6D" w16cex:dateUtc="2025-09-11T20:42:54.269Z"/>
  <w16cex:commentExtensible w16cex:durableId="3C742CBE" w16cex:dateUtc="2025-09-11T20:52:34.147Z">
    <w16cex:extLst>
      <w16:ext w16:uri="{CE6994B0-6A32-4C9F-8C6B-6E91EDA988CE}">
        <cr:reactions xmlns:cr="http://schemas.microsoft.com/office/comments/2020/reactions">
          <cr:reaction reactionType="1">
            <cr:reactionInfo dateUtc="2025-09-12T13:46:57.602Z">
              <cr:user userId="S::mathilde.sainte-marie.hsj@ssss.gouv.qc.ca::0692835c-6833-44f6-a2d3-04a83e8d3749" userProvider="AD" userName="Mathilde Sainte-Marie (HSJ)"/>
            </cr:reactionInfo>
          </cr:reaction>
        </cr:reactions>
      </w16:ext>
    </w16cex:extLst>
  </w16cex:commentExtensible>
  <w16cex:commentExtensible w16cex:durableId="0E3BCE68" w16cex:dateUtc="2025-09-11T20:59:00.357Z"/>
  <w16cex:commentExtensible w16cex:durableId="0784B739" w16cex:dateUtc="2025-09-12T19:29:45.855Z"/>
  <w16cex:commentExtensible w16cex:durableId="046D106B" w16cex:dateUtc="2025-09-12T19:32:36.99Z"/>
  <w16cex:commentExtensible w16cex:durableId="73CF2CC1" w16cex:dateUtc="2025-09-12T19:33:12.196Z"/>
  <w16cex:commentExtensible w16cex:durableId="142D7B4A" w16cex:dateUtc="2025-09-12T19:34:16.578Z"/>
  <w16cex:commentExtensible w16cex:durableId="6534FC04" w16cex:dateUtc="2025-09-12T19:51:40.6Z"/>
  <w16cex:commentExtensible w16cex:durableId="2FB0377C" w16cex:dateUtc="2025-09-12T19:54:51.56Z"/>
  <w16cex:commentExtensible w16cex:durableId="3101F3BD" w16cex:dateUtc="2025-09-12T19:55:35.375Z"/>
  <w16cex:commentExtensible w16cex:durableId="2B79C259" w16cex:dateUtc="2025-09-12T19:56:40.37Z"/>
  <w16cex:commentExtensible w16cex:durableId="5848B2C1" w16cex:dateUtc="2025-09-12T19:58:28.772Z"/>
  <w16cex:commentExtensible w16cex:durableId="64BAD927" w16cex:dateUtc="2025-09-12T19:59:14.599Z"/>
  <w16cex:commentExtensible w16cex:durableId="0909AB1F" w16cex:dateUtc="2025-09-12T20:03:41.572Z"/>
  <w16cex:commentExtensible w16cex:durableId="12D28E26" w16cex:dateUtc="2025-09-12T20:10:45.51Z"/>
  <w16cex:commentExtensible w16cex:durableId="7C9F2257" w16cex:dateUtc="2025-09-12T20:11:12.771Z"/>
  <w16cex:commentExtensible w16cex:durableId="3AD866F5" w16cex:dateUtc="2025-09-12T20:20:07.963Z"/>
  <w16cex:commentExtensible w16cex:durableId="632A6E2A" w16cex:dateUtc="2025-09-12T20:20:52.138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05" w:type="dxa"/>
      <w:tblLayout w:type="fixed"/>
      <w:tblLook w:val="06A0" w:firstRow="1" w:lastRow="0" w:firstColumn="1" w:lastColumn="0" w:noHBand="1" w:noVBand="1"/>
    </w:tblPr>
    <w:tblGrid>
      <w:gridCol w:w="4111"/>
      <w:gridCol w:w="2159"/>
      <w:gridCol w:w="3135"/>
    </w:tblGrid>
    <w:tr>
      <w:trPr>
        <w:trHeight w:val="300"/>
      </w:trPr>
      <w:tc>
        <w:tcPr>
          <w:tcW w:w="4111" w:type="dxa"/>
        </w:tcPr>
        <w:p>
          <w:pPr>
            <w:pStyle w:val="En-tte"/>
            <w:ind w:left="-115"/>
            <w:rPr>
              <w:rFonts w:cs="Arial"/>
            </w:rPr>
          </w:pPr>
        </w:p>
      </w:tc>
      <w:tc>
        <w:tcPr>
          <w:tcW w:w="2159" w:type="dxa"/>
        </w:tcPr>
        <w:p>
          <w:pPr>
            <w:pStyle w:val="En-tte"/>
            <w:jc w:val="center"/>
            <w:rPr>
              <w:rFonts w:cs="Arial"/>
            </w:rPr>
          </w:pPr>
          <w:r>
            <w:rPr>
              <w:rFonts w:cs="Arial"/>
            </w:rPr>
            <w:t>Version 02</w:t>
          </w:r>
        </w:p>
      </w:tc>
      <w:tc>
        <w:tcPr>
          <w:tcW w:w="3135" w:type="dxa"/>
        </w:tcPr>
        <w:p>
          <w:pPr>
            <w:jc w:val="right"/>
            <w:rPr>
              <w:rFonts w:eastAsia="Calibri" w:cs="Arial"/>
              <w:color w:val="000000" w:themeColor="text1"/>
            </w:rPr>
          </w:pPr>
          <w:r>
            <w:rPr>
              <w:rFonts w:eastAsia="Calibri" w:cs="Arial"/>
              <w:color w:val="000000" w:themeColor="text1"/>
            </w:rPr>
            <w:t>Mise à jour : septembre 2025</w:t>
          </w:r>
        </w:p>
      </w:tc>
    </w:tr>
  </w:tbl>
  <w:p>
    <w:pPr>
      <w:pStyle w:val="Pieddepage"/>
      <w:rPr>
        <w:sz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En-tte"/>
    </w:pPr>
  </w:p>
</w:hdr>
</file>

<file path=word/intelligence2.xml><?xml version="1.0" encoding="utf-8"?>
<int2:intelligence xmlns:int2="http://schemas.microsoft.com/office/intelligence/2020/intelligence" xmlns:oel="http://schemas.microsoft.com/office/2019/extlst">
  <int2:observations>
    <int2:textHash int2:hashCode="xvC6KEl/+btxB2" int2:id="WkR7BfpP">
      <int2:state int2:value="Rejected" int2:type="spell"/>
    </int2:textHash>
    <int2:textHash int2:hashCode="AQNAdswX4lMVRS" int2:id="hwtoqB0W">
      <int2:state int2:value="Rejected" int2:type="spell"/>
    </int2:textHash>
    <int2:textHash int2:hashCode="m3lLzCPNiyQL8Q" int2:id="VICMcBEx">
      <int2:state int2:value="Rejected" int2:type="spell"/>
    </int2:textHash>
    <int2:textHash int2:hashCode="MsndkIWef9SMKK" int2:id="FID5VLuJ">
      <int2:state int2:value="Rejected" int2:type="AugLoop_Text_Critique"/>
    </int2:textHash>
    <int2:bookmark int2:bookmarkName="_Int_q2SYpQPF" int2:invalidationBookmarkName="" int2:hashCode="Pv1MD+GFE13SxY" int2:id="YQw94hpK">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85399"/>
    <w:multiLevelType w:val="multilevel"/>
    <w:tmpl w:val="C338B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ED0102"/>
    <w:multiLevelType w:val="multilevel"/>
    <w:tmpl w:val="A656C1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F40B0F"/>
    <w:multiLevelType w:val="multilevel"/>
    <w:tmpl w:val="D1AA1F0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11E64F36"/>
    <w:multiLevelType w:val="multilevel"/>
    <w:tmpl w:val="09E8475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1F6F86"/>
    <w:multiLevelType w:val="multilevel"/>
    <w:tmpl w:val="7982D9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9B3976"/>
    <w:multiLevelType w:val="hybridMultilevel"/>
    <w:tmpl w:val="2B941FB0"/>
    <w:lvl w:ilvl="0" w:tplc="896C9A56">
      <w:start w:val="1"/>
      <w:numFmt w:val="decimal"/>
      <w:lvlText w:val="%1."/>
      <w:lvlJc w:val="left"/>
      <w:pPr>
        <w:ind w:left="1069" w:hanging="360"/>
      </w:pPr>
      <w:rPr>
        <w:rFonts w:hint="default"/>
      </w:rPr>
    </w:lvl>
    <w:lvl w:ilvl="1" w:tplc="0C0C0019" w:tentative="1">
      <w:start w:val="1"/>
      <w:numFmt w:val="lowerLetter"/>
      <w:lvlText w:val="%2."/>
      <w:lvlJc w:val="left"/>
      <w:pPr>
        <w:ind w:left="1789" w:hanging="360"/>
      </w:pPr>
    </w:lvl>
    <w:lvl w:ilvl="2" w:tplc="0C0C001B" w:tentative="1">
      <w:start w:val="1"/>
      <w:numFmt w:val="lowerRoman"/>
      <w:lvlText w:val="%3."/>
      <w:lvlJc w:val="right"/>
      <w:pPr>
        <w:ind w:left="2509" w:hanging="180"/>
      </w:pPr>
    </w:lvl>
    <w:lvl w:ilvl="3" w:tplc="0C0C000F" w:tentative="1">
      <w:start w:val="1"/>
      <w:numFmt w:val="decimal"/>
      <w:lvlText w:val="%4."/>
      <w:lvlJc w:val="left"/>
      <w:pPr>
        <w:ind w:left="3229" w:hanging="360"/>
      </w:pPr>
    </w:lvl>
    <w:lvl w:ilvl="4" w:tplc="0C0C0019" w:tentative="1">
      <w:start w:val="1"/>
      <w:numFmt w:val="lowerLetter"/>
      <w:lvlText w:val="%5."/>
      <w:lvlJc w:val="left"/>
      <w:pPr>
        <w:ind w:left="3949" w:hanging="360"/>
      </w:pPr>
    </w:lvl>
    <w:lvl w:ilvl="5" w:tplc="0C0C001B" w:tentative="1">
      <w:start w:val="1"/>
      <w:numFmt w:val="lowerRoman"/>
      <w:lvlText w:val="%6."/>
      <w:lvlJc w:val="right"/>
      <w:pPr>
        <w:ind w:left="4669" w:hanging="180"/>
      </w:pPr>
    </w:lvl>
    <w:lvl w:ilvl="6" w:tplc="0C0C000F" w:tentative="1">
      <w:start w:val="1"/>
      <w:numFmt w:val="decimal"/>
      <w:lvlText w:val="%7."/>
      <w:lvlJc w:val="left"/>
      <w:pPr>
        <w:ind w:left="5389" w:hanging="360"/>
      </w:pPr>
    </w:lvl>
    <w:lvl w:ilvl="7" w:tplc="0C0C0019" w:tentative="1">
      <w:start w:val="1"/>
      <w:numFmt w:val="lowerLetter"/>
      <w:lvlText w:val="%8."/>
      <w:lvlJc w:val="left"/>
      <w:pPr>
        <w:ind w:left="6109" w:hanging="360"/>
      </w:pPr>
    </w:lvl>
    <w:lvl w:ilvl="8" w:tplc="0C0C001B" w:tentative="1">
      <w:start w:val="1"/>
      <w:numFmt w:val="lowerRoman"/>
      <w:lvlText w:val="%9."/>
      <w:lvlJc w:val="right"/>
      <w:pPr>
        <w:ind w:left="6829" w:hanging="180"/>
      </w:pPr>
    </w:lvl>
  </w:abstractNum>
  <w:abstractNum w:abstractNumId="6" w15:restartNumberingAfterBreak="0">
    <w:nsid w:val="1BEA28C2"/>
    <w:multiLevelType w:val="hybridMultilevel"/>
    <w:tmpl w:val="038C6A12"/>
    <w:lvl w:ilvl="0" w:tplc="9384BB2E">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2252662C"/>
    <w:multiLevelType w:val="multilevel"/>
    <w:tmpl w:val="09EC26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53250FC"/>
    <w:multiLevelType w:val="hybridMultilevel"/>
    <w:tmpl w:val="113EE9E6"/>
    <w:lvl w:ilvl="0" w:tplc="C9881054">
      <w:start w:val="1"/>
      <w:numFmt w:val="bullet"/>
      <w:lvlText w:val=""/>
      <w:lvlJc w:val="left"/>
      <w:pPr>
        <w:ind w:left="720" w:hanging="360"/>
      </w:pPr>
      <w:rPr>
        <w:rFonts w:ascii="Symbol" w:hAnsi="Symbol" w:hint="default"/>
      </w:rPr>
    </w:lvl>
    <w:lvl w:ilvl="1" w:tplc="EA52E092">
      <w:start w:val="1"/>
      <w:numFmt w:val="bullet"/>
      <w:lvlText w:val="o"/>
      <w:lvlJc w:val="left"/>
      <w:pPr>
        <w:ind w:left="1440" w:hanging="360"/>
      </w:pPr>
      <w:rPr>
        <w:rFonts w:ascii="Courier New" w:hAnsi="Courier New" w:hint="default"/>
      </w:rPr>
    </w:lvl>
    <w:lvl w:ilvl="2" w:tplc="F288F496">
      <w:start w:val="1"/>
      <w:numFmt w:val="bullet"/>
      <w:lvlText w:val=""/>
      <w:lvlJc w:val="left"/>
      <w:pPr>
        <w:ind w:left="2160" w:hanging="360"/>
      </w:pPr>
      <w:rPr>
        <w:rFonts w:ascii="Wingdings" w:hAnsi="Wingdings" w:hint="default"/>
      </w:rPr>
    </w:lvl>
    <w:lvl w:ilvl="3" w:tplc="AD26F75E">
      <w:start w:val="1"/>
      <w:numFmt w:val="bullet"/>
      <w:lvlText w:val=""/>
      <w:lvlJc w:val="left"/>
      <w:pPr>
        <w:ind w:left="2880" w:hanging="360"/>
      </w:pPr>
      <w:rPr>
        <w:rFonts w:ascii="Symbol" w:hAnsi="Symbol" w:hint="default"/>
      </w:rPr>
    </w:lvl>
    <w:lvl w:ilvl="4" w:tplc="8C0C1518">
      <w:start w:val="1"/>
      <w:numFmt w:val="bullet"/>
      <w:lvlText w:val="o"/>
      <w:lvlJc w:val="left"/>
      <w:pPr>
        <w:ind w:left="3600" w:hanging="360"/>
      </w:pPr>
      <w:rPr>
        <w:rFonts w:ascii="Courier New" w:hAnsi="Courier New" w:hint="default"/>
      </w:rPr>
    </w:lvl>
    <w:lvl w:ilvl="5" w:tplc="99527828">
      <w:start w:val="1"/>
      <w:numFmt w:val="bullet"/>
      <w:lvlText w:val=""/>
      <w:lvlJc w:val="left"/>
      <w:pPr>
        <w:ind w:left="4320" w:hanging="360"/>
      </w:pPr>
      <w:rPr>
        <w:rFonts w:ascii="Wingdings" w:hAnsi="Wingdings" w:hint="default"/>
      </w:rPr>
    </w:lvl>
    <w:lvl w:ilvl="6" w:tplc="1AB4D04A">
      <w:start w:val="1"/>
      <w:numFmt w:val="bullet"/>
      <w:lvlText w:val=""/>
      <w:lvlJc w:val="left"/>
      <w:pPr>
        <w:ind w:left="5040" w:hanging="360"/>
      </w:pPr>
      <w:rPr>
        <w:rFonts w:ascii="Symbol" w:hAnsi="Symbol" w:hint="default"/>
      </w:rPr>
    </w:lvl>
    <w:lvl w:ilvl="7" w:tplc="54F4A6F6">
      <w:start w:val="1"/>
      <w:numFmt w:val="bullet"/>
      <w:lvlText w:val="o"/>
      <w:lvlJc w:val="left"/>
      <w:pPr>
        <w:ind w:left="5760" w:hanging="360"/>
      </w:pPr>
      <w:rPr>
        <w:rFonts w:ascii="Courier New" w:hAnsi="Courier New" w:hint="default"/>
      </w:rPr>
    </w:lvl>
    <w:lvl w:ilvl="8" w:tplc="9D3EF2AE">
      <w:start w:val="1"/>
      <w:numFmt w:val="bullet"/>
      <w:lvlText w:val=""/>
      <w:lvlJc w:val="left"/>
      <w:pPr>
        <w:ind w:left="6480" w:hanging="360"/>
      </w:pPr>
      <w:rPr>
        <w:rFonts w:ascii="Wingdings" w:hAnsi="Wingdings" w:hint="default"/>
      </w:rPr>
    </w:lvl>
  </w:abstractNum>
  <w:abstractNum w:abstractNumId="9" w15:restartNumberingAfterBreak="0">
    <w:nsid w:val="2A193F92"/>
    <w:multiLevelType w:val="hybridMultilevel"/>
    <w:tmpl w:val="BD7CECF6"/>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0" w15:restartNumberingAfterBreak="0">
    <w:nsid w:val="37266F2E"/>
    <w:multiLevelType w:val="hybridMultilevel"/>
    <w:tmpl w:val="14D0E9E4"/>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1" w15:restartNumberingAfterBreak="0">
    <w:nsid w:val="3C9022E5"/>
    <w:multiLevelType w:val="hybridMultilevel"/>
    <w:tmpl w:val="D7D2309C"/>
    <w:lvl w:ilvl="0" w:tplc="0C0C0001">
      <w:start w:val="1"/>
      <w:numFmt w:val="bullet"/>
      <w:lvlText w:val=""/>
      <w:lvlJc w:val="left"/>
      <w:pPr>
        <w:ind w:left="1429" w:hanging="360"/>
      </w:pPr>
      <w:rPr>
        <w:rFonts w:ascii="Symbol" w:hAnsi="Symbol" w:hint="default"/>
      </w:rPr>
    </w:lvl>
    <w:lvl w:ilvl="1" w:tplc="0C0C0003">
      <w:start w:val="1"/>
      <w:numFmt w:val="bullet"/>
      <w:lvlText w:val="o"/>
      <w:lvlJc w:val="left"/>
      <w:pPr>
        <w:ind w:left="2149" w:hanging="360"/>
      </w:pPr>
      <w:rPr>
        <w:rFonts w:ascii="Courier New" w:hAnsi="Courier New" w:cs="Courier New" w:hint="default"/>
      </w:rPr>
    </w:lvl>
    <w:lvl w:ilvl="2" w:tplc="0C0C0005" w:tentative="1">
      <w:start w:val="1"/>
      <w:numFmt w:val="bullet"/>
      <w:lvlText w:val=""/>
      <w:lvlJc w:val="left"/>
      <w:pPr>
        <w:ind w:left="2869" w:hanging="360"/>
      </w:pPr>
      <w:rPr>
        <w:rFonts w:ascii="Wingdings" w:hAnsi="Wingdings" w:hint="default"/>
      </w:rPr>
    </w:lvl>
    <w:lvl w:ilvl="3" w:tplc="0C0C0001" w:tentative="1">
      <w:start w:val="1"/>
      <w:numFmt w:val="bullet"/>
      <w:lvlText w:val=""/>
      <w:lvlJc w:val="left"/>
      <w:pPr>
        <w:ind w:left="3589" w:hanging="360"/>
      </w:pPr>
      <w:rPr>
        <w:rFonts w:ascii="Symbol" w:hAnsi="Symbol" w:hint="default"/>
      </w:rPr>
    </w:lvl>
    <w:lvl w:ilvl="4" w:tplc="0C0C0003" w:tentative="1">
      <w:start w:val="1"/>
      <w:numFmt w:val="bullet"/>
      <w:lvlText w:val="o"/>
      <w:lvlJc w:val="left"/>
      <w:pPr>
        <w:ind w:left="4309" w:hanging="360"/>
      </w:pPr>
      <w:rPr>
        <w:rFonts w:ascii="Courier New" w:hAnsi="Courier New" w:cs="Courier New" w:hint="default"/>
      </w:rPr>
    </w:lvl>
    <w:lvl w:ilvl="5" w:tplc="0C0C0005" w:tentative="1">
      <w:start w:val="1"/>
      <w:numFmt w:val="bullet"/>
      <w:lvlText w:val=""/>
      <w:lvlJc w:val="left"/>
      <w:pPr>
        <w:ind w:left="5029" w:hanging="360"/>
      </w:pPr>
      <w:rPr>
        <w:rFonts w:ascii="Wingdings" w:hAnsi="Wingdings" w:hint="default"/>
      </w:rPr>
    </w:lvl>
    <w:lvl w:ilvl="6" w:tplc="0C0C0001" w:tentative="1">
      <w:start w:val="1"/>
      <w:numFmt w:val="bullet"/>
      <w:lvlText w:val=""/>
      <w:lvlJc w:val="left"/>
      <w:pPr>
        <w:ind w:left="5749" w:hanging="360"/>
      </w:pPr>
      <w:rPr>
        <w:rFonts w:ascii="Symbol" w:hAnsi="Symbol" w:hint="default"/>
      </w:rPr>
    </w:lvl>
    <w:lvl w:ilvl="7" w:tplc="0C0C0003" w:tentative="1">
      <w:start w:val="1"/>
      <w:numFmt w:val="bullet"/>
      <w:lvlText w:val="o"/>
      <w:lvlJc w:val="left"/>
      <w:pPr>
        <w:ind w:left="6469" w:hanging="360"/>
      </w:pPr>
      <w:rPr>
        <w:rFonts w:ascii="Courier New" w:hAnsi="Courier New" w:cs="Courier New" w:hint="default"/>
      </w:rPr>
    </w:lvl>
    <w:lvl w:ilvl="8" w:tplc="0C0C0005" w:tentative="1">
      <w:start w:val="1"/>
      <w:numFmt w:val="bullet"/>
      <w:lvlText w:val=""/>
      <w:lvlJc w:val="left"/>
      <w:pPr>
        <w:ind w:left="7189" w:hanging="360"/>
      </w:pPr>
      <w:rPr>
        <w:rFonts w:ascii="Wingdings" w:hAnsi="Wingdings" w:hint="default"/>
      </w:rPr>
    </w:lvl>
  </w:abstractNum>
  <w:abstractNum w:abstractNumId="12" w15:restartNumberingAfterBreak="0">
    <w:nsid w:val="423F1CA8"/>
    <w:multiLevelType w:val="multilevel"/>
    <w:tmpl w:val="42982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3899A5E"/>
    <w:multiLevelType w:val="hybridMultilevel"/>
    <w:tmpl w:val="A33E27AE"/>
    <w:lvl w:ilvl="0" w:tplc="C0249AF2">
      <w:start w:val="1"/>
      <w:numFmt w:val="bullet"/>
      <w:lvlText w:val="-"/>
      <w:lvlJc w:val="left"/>
      <w:pPr>
        <w:ind w:left="720" w:hanging="360"/>
      </w:pPr>
      <w:rPr>
        <w:rFonts w:ascii="Aptos" w:hAnsi="Aptos" w:hint="default"/>
      </w:rPr>
    </w:lvl>
    <w:lvl w:ilvl="1" w:tplc="9F3EB796">
      <w:start w:val="1"/>
      <w:numFmt w:val="bullet"/>
      <w:lvlText w:val="o"/>
      <w:lvlJc w:val="left"/>
      <w:pPr>
        <w:ind w:left="1440" w:hanging="360"/>
      </w:pPr>
      <w:rPr>
        <w:rFonts w:ascii="Courier New" w:hAnsi="Courier New" w:hint="default"/>
      </w:rPr>
    </w:lvl>
    <w:lvl w:ilvl="2" w:tplc="9738A4E0">
      <w:start w:val="1"/>
      <w:numFmt w:val="bullet"/>
      <w:lvlText w:val=""/>
      <w:lvlJc w:val="left"/>
      <w:pPr>
        <w:ind w:left="2160" w:hanging="360"/>
      </w:pPr>
      <w:rPr>
        <w:rFonts w:ascii="Wingdings" w:hAnsi="Wingdings" w:hint="default"/>
      </w:rPr>
    </w:lvl>
    <w:lvl w:ilvl="3" w:tplc="93D011C4">
      <w:start w:val="1"/>
      <w:numFmt w:val="bullet"/>
      <w:lvlText w:val=""/>
      <w:lvlJc w:val="left"/>
      <w:pPr>
        <w:ind w:left="2880" w:hanging="360"/>
      </w:pPr>
      <w:rPr>
        <w:rFonts w:ascii="Symbol" w:hAnsi="Symbol" w:hint="default"/>
      </w:rPr>
    </w:lvl>
    <w:lvl w:ilvl="4" w:tplc="141839EE">
      <w:start w:val="1"/>
      <w:numFmt w:val="bullet"/>
      <w:lvlText w:val="o"/>
      <w:lvlJc w:val="left"/>
      <w:pPr>
        <w:ind w:left="3600" w:hanging="360"/>
      </w:pPr>
      <w:rPr>
        <w:rFonts w:ascii="Courier New" w:hAnsi="Courier New" w:hint="default"/>
      </w:rPr>
    </w:lvl>
    <w:lvl w:ilvl="5" w:tplc="ABA8EE28">
      <w:start w:val="1"/>
      <w:numFmt w:val="bullet"/>
      <w:lvlText w:val=""/>
      <w:lvlJc w:val="left"/>
      <w:pPr>
        <w:ind w:left="4320" w:hanging="360"/>
      </w:pPr>
      <w:rPr>
        <w:rFonts w:ascii="Wingdings" w:hAnsi="Wingdings" w:hint="default"/>
      </w:rPr>
    </w:lvl>
    <w:lvl w:ilvl="6" w:tplc="361AE0E8">
      <w:start w:val="1"/>
      <w:numFmt w:val="bullet"/>
      <w:lvlText w:val=""/>
      <w:lvlJc w:val="left"/>
      <w:pPr>
        <w:ind w:left="5040" w:hanging="360"/>
      </w:pPr>
      <w:rPr>
        <w:rFonts w:ascii="Symbol" w:hAnsi="Symbol" w:hint="default"/>
      </w:rPr>
    </w:lvl>
    <w:lvl w:ilvl="7" w:tplc="E15870BC">
      <w:start w:val="1"/>
      <w:numFmt w:val="bullet"/>
      <w:lvlText w:val="o"/>
      <w:lvlJc w:val="left"/>
      <w:pPr>
        <w:ind w:left="5760" w:hanging="360"/>
      </w:pPr>
      <w:rPr>
        <w:rFonts w:ascii="Courier New" w:hAnsi="Courier New" w:hint="default"/>
      </w:rPr>
    </w:lvl>
    <w:lvl w:ilvl="8" w:tplc="59265BC0">
      <w:start w:val="1"/>
      <w:numFmt w:val="bullet"/>
      <w:lvlText w:val=""/>
      <w:lvlJc w:val="left"/>
      <w:pPr>
        <w:ind w:left="6480" w:hanging="360"/>
      </w:pPr>
      <w:rPr>
        <w:rFonts w:ascii="Wingdings" w:hAnsi="Wingdings" w:hint="default"/>
      </w:rPr>
    </w:lvl>
  </w:abstractNum>
  <w:abstractNum w:abstractNumId="14" w15:restartNumberingAfterBreak="0">
    <w:nsid w:val="44A57559"/>
    <w:multiLevelType w:val="hybridMultilevel"/>
    <w:tmpl w:val="A8903F3C"/>
    <w:lvl w:ilvl="0" w:tplc="57B0889C">
      <w:start w:val="1"/>
      <w:numFmt w:val="bullet"/>
      <w:lvlText w:val=""/>
      <w:lvlJc w:val="left"/>
      <w:pPr>
        <w:ind w:left="720" w:hanging="360"/>
      </w:pPr>
      <w:rPr>
        <w:rFonts w:ascii="Symbol" w:hAnsi="Symbol" w:hint="default"/>
      </w:rPr>
    </w:lvl>
    <w:lvl w:ilvl="1" w:tplc="6F10179A">
      <w:start w:val="1"/>
      <w:numFmt w:val="bullet"/>
      <w:lvlText w:val="o"/>
      <w:lvlJc w:val="left"/>
      <w:pPr>
        <w:ind w:left="1440" w:hanging="360"/>
      </w:pPr>
      <w:rPr>
        <w:rFonts w:ascii="Courier New" w:hAnsi="Courier New" w:hint="default"/>
      </w:rPr>
    </w:lvl>
    <w:lvl w:ilvl="2" w:tplc="B5AE6100">
      <w:start w:val="1"/>
      <w:numFmt w:val="bullet"/>
      <w:lvlText w:val=""/>
      <w:lvlJc w:val="left"/>
      <w:pPr>
        <w:ind w:left="2160" w:hanging="360"/>
      </w:pPr>
      <w:rPr>
        <w:rFonts w:ascii="Wingdings" w:hAnsi="Wingdings" w:hint="default"/>
      </w:rPr>
    </w:lvl>
    <w:lvl w:ilvl="3" w:tplc="C1402A78">
      <w:start w:val="1"/>
      <w:numFmt w:val="bullet"/>
      <w:lvlText w:val=""/>
      <w:lvlJc w:val="left"/>
      <w:pPr>
        <w:ind w:left="2880" w:hanging="360"/>
      </w:pPr>
      <w:rPr>
        <w:rFonts w:ascii="Symbol" w:hAnsi="Symbol" w:hint="default"/>
      </w:rPr>
    </w:lvl>
    <w:lvl w:ilvl="4" w:tplc="B03EDAA8">
      <w:start w:val="1"/>
      <w:numFmt w:val="bullet"/>
      <w:lvlText w:val="o"/>
      <w:lvlJc w:val="left"/>
      <w:pPr>
        <w:ind w:left="3600" w:hanging="360"/>
      </w:pPr>
      <w:rPr>
        <w:rFonts w:ascii="Courier New" w:hAnsi="Courier New" w:hint="default"/>
      </w:rPr>
    </w:lvl>
    <w:lvl w:ilvl="5" w:tplc="F6164788">
      <w:start w:val="1"/>
      <w:numFmt w:val="bullet"/>
      <w:lvlText w:val=""/>
      <w:lvlJc w:val="left"/>
      <w:pPr>
        <w:ind w:left="4320" w:hanging="360"/>
      </w:pPr>
      <w:rPr>
        <w:rFonts w:ascii="Wingdings" w:hAnsi="Wingdings" w:hint="default"/>
      </w:rPr>
    </w:lvl>
    <w:lvl w:ilvl="6" w:tplc="AA2E5578">
      <w:start w:val="1"/>
      <w:numFmt w:val="bullet"/>
      <w:lvlText w:val=""/>
      <w:lvlJc w:val="left"/>
      <w:pPr>
        <w:ind w:left="5040" w:hanging="360"/>
      </w:pPr>
      <w:rPr>
        <w:rFonts w:ascii="Symbol" w:hAnsi="Symbol" w:hint="default"/>
      </w:rPr>
    </w:lvl>
    <w:lvl w:ilvl="7" w:tplc="5540E580">
      <w:start w:val="1"/>
      <w:numFmt w:val="bullet"/>
      <w:lvlText w:val="o"/>
      <w:lvlJc w:val="left"/>
      <w:pPr>
        <w:ind w:left="5760" w:hanging="360"/>
      </w:pPr>
      <w:rPr>
        <w:rFonts w:ascii="Courier New" w:hAnsi="Courier New" w:hint="default"/>
      </w:rPr>
    </w:lvl>
    <w:lvl w:ilvl="8" w:tplc="11BCC0D6">
      <w:start w:val="1"/>
      <w:numFmt w:val="bullet"/>
      <w:lvlText w:val=""/>
      <w:lvlJc w:val="left"/>
      <w:pPr>
        <w:ind w:left="6480" w:hanging="360"/>
      </w:pPr>
      <w:rPr>
        <w:rFonts w:ascii="Wingdings" w:hAnsi="Wingdings" w:hint="default"/>
      </w:rPr>
    </w:lvl>
  </w:abstractNum>
  <w:abstractNum w:abstractNumId="15" w15:restartNumberingAfterBreak="0">
    <w:nsid w:val="44D302F5"/>
    <w:multiLevelType w:val="hybridMultilevel"/>
    <w:tmpl w:val="3C667D7A"/>
    <w:lvl w:ilvl="0" w:tplc="0C0C0001">
      <w:start w:val="1"/>
      <w:numFmt w:val="bullet"/>
      <w:lvlText w:val=""/>
      <w:lvlJc w:val="left"/>
      <w:pPr>
        <w:ind w:left="1429" w:hanging="360"/>
      </w:pPr>
      <w:rPr>
        <w:rFonts w:ascii="Symbol" w:hAnsi="Symbol" w:hint="default"/>
      </w:rPr>
    </w:lvl>
    <w:lvl w:ilvl="1" w:tplc="0C0C0003" w:tentative="1">
      <w:start w:val="1"/>
      <w:numFmt w:val="bullet"/>
      <w:lvlText w:val="o"/>
      <w:lvlJc w:val="left"/>
      <w:pPr>
        <w:ind w:left="2149" w:hanging="360"/>
      </w:pPr>
      <w:rPr>
        <w:rFonts w:ascii="Courier New" w:hAnsi="Courier New" w:cs="Courier New" w:hint="default"/>
      </w:rPr>
    </w:lvl>
    <w:lvl w:ilvl="2" w:tplc="0C0C0005" w:tentative="1">
      <w:start w:val="1"/>
      <w:numFmt w:val="bullet"/>
      <w:lvlText w:val=""/>
      <w:lvlJc w:val="left"/>
      <w:pPr>
        <w:ind w:left="2869" w:hanging="360"/>
      </w:pPr>
      <w:rPr>
        <w:rFonts w:ascii="Wingdings" w:hAnsi="Wingdings" w:hint="default"/>
      </w:rPr>
    </w:lvl>
    <w:lvl w:ilvl="3" w:tplc="0C0C0001" w:tentative="1">
      <w:start w:val="1"/>
      <w:numFmt w:val="bullet"/>
      <w:lvlText w:val=""/>
      <w:lvlJc w:val="left"/>
      <w:pPr>
        <w:ind w:left="3589" w:hanging="360"/>
      </w:pPr>
      <w:rPr>
        <w:rFonts w:ascii="Symbol" w:hAnsi="Symbol" w:hint="default"/>
      </w:rPr>
    </w:lvl>
    <w:lvl w:ilvl="4" w:tplc="0C0C0003" w:tentative="1">
      <w:start w:val="1"/>
      <w:numFmt w:val="bullet"/>
      <w:lvlText w:val="o"/>
      <w:lvlJc w:val="left"/>
      <w:pPr>
        <w:ind w:left="4309" w:hanging="360"/>
      </w:pPr>
      <w:rPr>
        <w:rFonts w:ascii="Courier New" w:hAnsi="Courier New" w:cs="Courier New" w:hint="default"/>
      </w:rPr>
    </w:lvl>
    <w:lvl w:ilvl="5" w:tplc="0C0C0005" w:tentative="1">
      <w:start w:val="1"/>
      <w:numFmt w:val="bullet"/>
      <w:lvlText w:val=""/>
      <w:lvlJc w:val="left"/>
      <w:pPr>
        <w:ind w:left="5029" w:hanging="360"/>
      </w:pPr>
      <w:rPr>
        <w:rFonts w:ascii="Wingdings" w:hAnsi="Wingdings" w:hint="default"/>
      </w:rPr>
    </w:lvl>
    <w:lvl w:ilvl="6" w:tplc="0C0C0001" w:tentative="1">
      <w:start w:val="1"/>
      <w:numFmt w:val="bullet"/>
      <w:lvlText w:val=""/>
      <w:lvlJc w:val="left"/>
      <w:pPr>
        <w:ind w:left="5749" w:hanging="360"/>
      </w:pPr>
      <w:rPr>
        <w:rFonts w:ascii="Symbol" w:hAnsi="Symbol" w:hint="default"/>
      </w:rPr>
    </w:lvl>
    <w:lvl w:ilvl="7" w:tplc="0C0C0003" w:tentative="1">
      <w:start w:val="1"/>
      <w:numFmt w:val="bullet"/>
      <w:lvlText w:val="o"/>
      <w:lvlJc w:val="left"/>
      <w:pPr>
        <w:ind w:left="6469" w:hanging="360"/>
      </w:pPr>
      <w:rPr>
        <w:rFonts w:ascii="Courier New" w:hAnsi="Courier New" w:cs="Courier New" w:hint="default"/>
      </w:rPr>
    </w:lvl>
    <w:lvl w:ilvl="8" w:tplc="0C0C0005" w:tentative="1">
      <w:start w:val="1"/>
      <w:numFmt w:val="bullet"/>
      <w:lvlText w:val=""/>
      <w:lvlJc w:val="left"/>
      <w:pPr>
        <w:ind w:left="7189" w:hanging="360"/>
      </w:pPr>
      <w:rPr>
        <w:rFonts w:ascii="Wingdings" w:hAnsi="Wingdings" w:hint="default"/>
      </w:rPr>
    </w:lvl>
  </w:abstractNum>
  <w:abstractNum w:abstractNumId="16" w15:restartNumberingAfterBreak="0">
    <w:nsid w:val="47402791"/>
    <w:multiLevelType w:val="multilevel"/>
    <w:tmpl w:val="21F07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D65666A"/>
    <w:multiLevelType w:val="hybridMultilevel"/>
    <w:tmpl w:val="5DFC0D34"/>
    <w:lvl w:ilvl="0" w:tplc="0C0C0003">
      <w:start w:val="1"/>
      <w:numFmt w:val="bullet"/>
      <w:lvlText w:val="o"/>
      <w:lvlJc w:val="left"/>
      <w:pPr>
        <w:ind w:left="1429" w:hanging="360"/>
      </w:pPr>
      <w:rPr>
        <w:rFonts w:ascii="Courier New" w:hAnsi="Courier New" w:cs="Courier New" w:hint="default"/>
      </w:rPr>
    </w:lvl>
    <w:lvl w:ilvl="1" w:tplc="0C0C0003" w:tentative="1">
      <w:start w:val="1"/>
      <w:numFmt w:val="bullet"/>
      <w:lvlText w:val="o"/>
      <w:lvlJc w:val="left"/>
      <w:pPr>
        <w:ind w:left="2149" w:hanging="360"/>
      </w:pPr>
      <w:rPr>
        <w:rFonts w:ascii="Courier New" w:hAnsi="Courier New" w:cs="Courier New" w:hint="default"/>
      </w:rPr>
    </w:lvl>
    <w:lvl w:ilvl="2" w:tplc="0C0C0005" w:tentative="1">
      <w:start w:val="1"/>
      <w:numFmt w:val="bullet"/>
      <w:lvlText w:val=""/>
      <w:lvlJc w:val="left"/>
      <w:pPr>
        <w:ind w:left="2869" w:hanging="360"/>
      </w:pPr>
      <w:rPr>
        <w:rFonts w:ascii="Wingdings" w:hAnsi="Wingdings" w:hint="default"/>
      </w:rPr>
    </w:lvl>
    <w:lvl w:ilvl="3" w:tplc="0C0C0001" w:tentative="1">
      <w:start w:val="1"/>
      <w:numFmt w:val="bullet"/>
      <w:lvlText w:val=""/>
      <w:lvlJc w:val="left"/>
      <w:pPr>
        <w:ind w:left="3589" w:hanging="360"/>
      </w:pPr>
      <w:rPr>
        <w:rFonts w:ascii="Symbol" w:hAnsi="Symbol" w:hint="default"/>
      </w:rPr>
    </w:lvl>
    <w:lvl w:ilvl="4" w:tplc="0C0C0003" w:tentative="1">
      <w:start w:val="1"/>
      <w:numFmt w:val="bullet"/>
      <w:lvlText w:val="o"/>
      <w:lvlJc w:val="left"/>
      <w:pPr>
        <w:ind w:left="4309" w:hanging="360"/>
      </w:pPr>
      <w:rPr>
        <w:rFonts w:ascii="Courier New" w:hAnsi="Courier New" w:cs="Courier New" w:hint="default"/>
      </w:rPr>
    </w:lvl>
    <w:lvl w:ilvl="5" w:tplc="0C0C0005" w:tentative="1">
      <w:start w:val="1"/>
      <w:numFmt w:val="bullet"/>
      <w:lvlText w:val=""/>
      <w:lvlJc w:val="left"/>
      <w:pPr>
        <w:ind w:left="5029" w:hanging="360"/>
      </w:pPr>
      <w:rPr>
        <w:rFonts w:ascii="Wingdings" w:hAnsi="Wingdings" w:hint="default"/>
      </w:rPr>
    </w:lvl>
    <w:lvl w:ilvl="6" w:tplc="0C0C0001" w:tentative="1">
      <w:start w:val="1"/>
      <w:numFmt w:val="bullet"/>
      <w:lvlText w:val=""/>
      <w:lvlJc w:val="left"/>
      <w:pPr>
        <w:ind w:left="5749" w:hanging="360"/>
      </w:pPr>
      <w:rPr>
        <w:rFonts w:ascii="Symbol" w:hAnsi="Symbol" w:hint="default"/>
      </w:rPr>
    </w:lvl>
    <w:lvl w:ilvl="7" w:tplc="0C0C0003" w:tentative="1">
      <w:start w:val="1"/>
      <w:numFmt w:val="bullet"/>
      <w:lvlText w:val="o"/>
      <w:lvlJc w:val="left"/>
      <w:pPr>
        <w:ind w:left="6469" w:hanging="360"/>
      </w:pPr>
      <w:rPr>
        <w:rFonts w:ascii="Courier New" w:hAnsi="Courier New" w:cs="Courier New" w:hint="default"/>
      </w:rPr>
    </w:lvl>
    <w:lvl w:ilvl="8" w:tplc="0C0C0005" w:tentative="1">
      <w:start w:val="1"/>
      <w:numFmt w:val="bullet"/>
      <w:lvlText w:val=""/>
      <w:lvlJc w:val="left"/>
      <w:pPr>
        <w:ind w:left="7189" w:hanging="360"/>
      </w:pPr>
      <w:rPr>
        <w:rFonts w:ascii="Wingdings" w:hAnsi="Wingdings" w:hint="default"/>
      </w:rPr>
    </w:lvl>
  </w:abstractNum>
  <w:abstractNum w:abstractNumId="18" w15:restartNumberingAfterBreak="0">
    <w:nsid w:val="520F4492"/>
    <w:multiLevelType w:val="multilevel"/>
    <w:tmpl w:val="AF54AF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F307954"/>
    <w:multiLevelType w:val="hybridMultilevel"/>
    <w:tmpl w:val="38A2E864"/>
    <w:lvl w:ilvl="0" w:tplc="896C9A56">
      <w:start w:val="1"/>
      <w:numFmt w:val="decimal"/>
      <w:lvlText w:val="%1."/>
      <w:lvlJc w:val="left"/>
      <w:pPr>
        <w:ind w:left="1069" w:hanging="360"/>
      </w:pPr>
      <w:rPr>
        <w:rFonts w:hint="default"/>
      </w:rPr>
    </w:lvl>
    <w:lvl w:ilvl="1" w:tplc="0C0C0019" w:tentative="1">
      <w:start w:val="1"/>
      <w:numFmt w:val="lowerLetter"/>
      <w:lvlText w:val="%2."/>
      <w:lvlJc w:val="left"/>
      <w:pPr>
        <w:ind w:left="1789" w:hanging="360"/>
      </w:pPr>
    </w:lvl>
    <w:lvl w:ilvl="2" w:tplc="0C0C001B" w:tentative="1">
      <w:start w:val="1"/>
      <w:numFmt w:val="lowerRoman"/>
      <w:lvlText w:val="%3."/>
      <w:lvlJc w:val="right"/>
      <w:pPr>
        <w:ind w:left="2509" w:hanging="180"/>
      </w:pPr>
    </w:lvl>
    <w:lvl w:ilvl="3" w:tplc="0C0C000F" w:tentative="1">
      <w:start w:val="1"/>
      <w:numFmt w:val="decimal"/>
      <w:lvlText w:val="%4."/>
      <w:lvlJc w:val="left"/>
      <w:pPr>
        <w:ind w:left="3229" w:hanging="360"/>
      </w:pPr>
    </w:lvl>
    <w:lvl w:ilvl="4" w:tplc="0C0C0019" w:tentative="1">
      <w:start w:val="1"/>
      <w:numFmt w:val="lowerLetter"/>
      <w:lvlText w:val="%5."/>
      <w:lvlJc w:val="left"/>
      <w:pPr>
        <w:ind w:left="3949" w:hanging="360"/>
      </w:pPr>
    </w:lvl>
    <w:lvl w:ilvl="5" w:tplc="0C0C001B" w:tentative="1">
      <w:start w:val="1"/>
      <w:numFmt w:val="lowerRoman"/>
      <w:lvlText w:val="%6."/>
      <w:lvlJc w:val="right"/>
      <w:pPr>
        <w:ind w:left="4669" w:hanging="180"/>
      </w:pPr>
    </w:lvl>
    <w:lvl w:ilvl="6" w:tplc="0C0C000F" w:tentative="1">
      <w:start w:val="1"/>
      <w:numFmt w:val="decimal"/>
      <w:lvlText w:val="%7."/>
      <w:lvlJc w:val="left"/>
      <w:pPr>
        <w:ind w:left="5389" w:hanging="360"/>
      </w:pPr>
    </w:lvl>
    <w:lvl w:ilvl="7" w:tplc="0C0C0019" w:tentative="1">
      <w:start w:val="1"/>
      <w:numFmt w:val="lowerLetter"/>
      <w:lvlText w:val="%8."/>
      <w:lvlJc w:val="left"/>
      <w:pPr>
        <w:ind w:left="6109" w:hanging="360"/>
      </w:pPr>
    </w:lvl>
    <w:lvl w:ilvl="8" w:tplc="0C0C001B" w:tentative="1">
      <w:start w:val="1"/>
      <w:numFmt w:val="lowerRoman"/>
      <w:lvlText w:val="%9."/>
      <w:lvlJc w:val="right"/>
      <w:pPr>
        <w:ind w:left="6829" w:hanging="180"/>
      </w:pPr>
    </w:lvl>
  </w:abstractNum>
  <w:abstractNum w:abstractNumId="20" w15:restartNumberingAfterBreak="0">
    <w:nsid w:val="641950FD"/>
    <w:multiLevelType w:val="hybridMultilevel"/>
    <w:tmpl w:val="5FB0455E"/>
    <w:lvl w:ilvl="0" w:tplc="819CA386">
      <w:start w:val="1"/>
      <w:numFmt w:val="decimal"/>
      <w:pStyle w:val="Titre1CRACHUSJ"/>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1" w15:restartNumberingAfterBreak="0">
    <w:nsid w:val="68AC53D7"/>
    <w:multiLevelType w:val="multilevel"/>
    <w:tmpl w:val="3768FC8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6945421F"/>
    <w:multiLevelType w:val="multilevel"/>
    <w:tmpl w:val="A372FB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CC63DED"/>
    <w:multiLevelType w:val="multilevel"/>
    <w:tmpl w:val="CFBC1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EC72785"/>
    <w:multiLevelType w:val="multilevel"/>
    <w:tmpl w:val="9B629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95C0753"/>
    <w:multiLevelType w:val="multilevel"/>
    <w:tmpl w:val="7458E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C077AD4"/>
    <w:multiLevelType w:val="hybridMultilevel"/>
    <w:tmpl w:val="85628474"/>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7" w15:restartNumberingAfterBreak="0">
    <w:nsid w:val="7E11FA36"/>
    <w:multiLevelType w:val="hybridMultilevel"/>
    <w:tmpl w:val="6EFE7656"/>
    <w:lvl w:ilvl="0" w:tplc="5750018A">
      <w:start w:val="1"/>
      <w:numFmt w:val="bullet"/>
      <w:lvlText w:val=""/>
      <w:lvlJc w:val="left"/>
      <w:pPr>
        <w:ind w:left="720" w:hanging="360"/>
      </w:pPr>
      <w:rPr>
        <w:rFonts w:ascii="Symbol" w:hAnsi="Symbol" w:hint="default"/>
      </w:rPr>
    </w:lvl>
    <w:lvl w:ilvl="1" w:tplc="80F49FAC">
      <w:start w:val="1"/>
      <w:numFmt w:val="bullet"/>
      <w:lvlText w:val="o"/>
      <w:lvlJc w:val="left"/>
      <w:pPr>
        <w:ind w:left="1440" w:hanging="360"/>
      </w:pPr>
      <w:rPr>
        <w:rFonts w:ascii="Courier New" w:hAnsi="Courier New" w:hint="default"/>
      </w:rPr>
    </w:lvl>
    <w:lvl w:ilvl="2" w:tplc="F10615E4">
      <w:start w:val="1"/>
      <w:numFmt w:val="bullet"/>
      <w:lvlText w:val=""/>
      <w:lvlJc w:val="left"/>
      <w:pPr>
        <w:ind w:left="2160" w:hanging="360"/>
      </w:pPr>
      <w:rPr>
        <w:rFonts w:ascii="Wingdings" w:hAnsi="Wingdings" w:hint="default"/>
      </w:rPr>
    </w:lvl>
    <w:lvl w:ilvl="3" w:tplc="4A843B9A">
      <w:start w:val="1"/>
      <w:numFmt w:val="bullet"/>
      <w:lvlText w:val=""/>
      <w:lvlJc w:val="left"/>
      <w:pPr>
        <w:ind w:left="2880" w:hanging="360"/>
      </w:pPr>
      <w:rPr>
        <w:rFonts w:ascii="Symbol" w:hAnsi="Symbol" w:hint="default"/>
      </w:rPr>
    </w:lvl>
    <w:lvl w:ilvl="4" w:tplc="F8CAE728">
      <w:start w:val="1"/>
      <w:numFmt w:val="bullet"/>
      <w:lvlText w:val="o"/>
      <w:lvlJc w:val="left"/>
      <w:pPr>
        <w:ind w:left="3600" w:hanging="360"/>
      </w:pPr>
      <w:rPr>
        <w:rFonts w:ascii="Courier New" w:hAnsi="Courier New" w:hint="default"/>
      </w:rPr>
    </w:lvl>
    <w:lvl w:ilvl="5" w:tplc="9934FD08">
      <w:start w:val="1"/>
      <w:numFmt w:val="bullet"/>
      <w:lvlText w:val=""/>
      <w:lvlJc w:val="left"/>
      <w:pPr>
        <w:ind w:left="4320" w:hanging="360"/>
      </w:pPr>
      <w:rPr>
        <w:rFonts w:ascii="Wingdings" w:hAnsi="Wingdings" w:hint="default"/>
      </w:rPr>
    </w:lvl>
    <w:lvl w:ilvl="6" w:tplc="A504146E">
      <w:start w:val="1"/>
      <w:numFmt w:val="bullet"/>
      <w:lvlText w:val=""/>
      <w:lvlJc w:val="left"/>
      <w:pPr>
        <w:ind w:left="5040" w:hanging="360"/>
      </w:pPr>
      <w:rPr>
        <w:rFonts w:ascii="Symbol" w:hAnsi="Symbol" w:hint="default"/>
      </w:rPr>
    </w:lvl>
    <w:lvl w:ilvl="7" w:tplc="01AEAB5A">
      <w:start w:val="1"/>
      <w:numFmt w:val="bullet"/>
      <w:lvlText w:val="o"/>
      <w:lvlJc w:val="left"/>
      <w:pPr>
        <w:ind w:left="5760" w:hanging="360"/>
      </w:pPr>
      <w:rPr>
        <w:rFonts w:ascii="Courier New" w:hAnsi="Courier New" w:hint="default"/>
      </w:rPr>
    </w:lvl>
    <w:lvl w:ilvl="8" w:tplc="4A32B3FC">
      <w:start w:val="1"/>
      <w:numFmt w:val="bullet"/>
      <w:lvlText w:val=""/>
      <w:lvlJc w:val="left"/>
      <w:pPr>
        <w:ind w:left="6480" w:hanging="360"/>
      </w:pPr>
      <w:rPr>
        <w:rFonts w:ascii="Wingdings" w:hAnsi="Wingdings" w:hint="default"/>
      </w:rPr>
    </w:lvl>
  </w:abstractNum>
  <w:num w:numId="1">
    <w:abstractNumId w:val="8"/>
  </w:num>
  <w:num w:numId="2">
    <w:abstractNumId w:val="13"/>
  </w:num>
  <w:num w:numId="3">
    <w:abstractNumId w:val="27"/>
  </w:num>
  <w:num w:numId="4">
    <w:abstractNumId w:val="14"/>
  </w:num>
  <w:num w:numId="5">
    <w:abstractNumId w:val="26"/>
  </w:num>
  <w:num w:numId="6">
    <w:abstractNumId w:val="20"/>
  </w:num>
  <w:num w:numId="7">
    <w:abstractNumId w:val="0"/>
  </w:num>
  <w:num w:numId="8">
    <w:abstractNumId w:val="21"/>
  </w:num>
  <w:num w:numId="9">
    <w:abstractNumId w:val="12"/>
  </w:num>
  <w:num w:numId="10">
    <w:abstractNumId w:val="23"/>
  </w:num>
  <w:num w:numId="11">
    <w:abstractNumId w:val="24"/>
  </w:num>
  <w:num w:numId="12">
    <w:abstractNumId w:val="18"/>
  </w:num>
  <w:num w:numId="13">
    <w:abstractNumId w:val="4"/>
  </w:num>
  <w:num w:numId="14">
    <w:abstractNumId w:val="3"/>
  </w:num>
  <w:num w:numId="15">
    <w:abstractNumId w:val="7"/>
  </w:num>
  <w:num w:numId="16">
    <w:abstractNumId w:val="2"/>
  </w:num>
  <w:num w:numId="17">
    <w:abstractNumId w:val="25"/>
  </w:num>
  <w:num w:numId="18">
    <w:abstractNumId w:val="22"/>
  </w:num>
  <w:num w:numId="19">
    <w:abstractNumId w:val="1"/>
  </w:num>
  <w:num w:numId="20">
    <w:abstractNumId w:val="16"/>
  </w:num>
  <w:num w:numId="21">
    <w:abstractNumId w:val="11"/>
  </w:num>
  <w:num w:numId="22">
    <w:abstractNumId w:val="15"/>
  </w:num>
  <w:num w:numId="23">
    <w:abstractNumId w:val="5"/>
  </w:num>
  <w:num w:numId="24">
    <w:abstractNumId w:val="17"/>
  </w:num>
  <w:num w:numId="25">
    <w:abstractNumId w:val="19"/>
  </w:num>
  <w:num w:numId="26">
    <w:abstractNumId w:val="6"/>
  </w:num>
  <w:num w:numId="27">
    <w:abstractNumId w:val="9"/>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08BA5F9B-8D06-4F28-9AC0-02AB23A8D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hAnsi="Arial"/>
    </w:rPr>
  </w:style>
  <w:style w:type="paragraph" w:styleId="Titre1">
    <w:name w:val="heading 1"/>
    <w:basedOn w:val="Normal"/>
    <w:next w:val="Normal"/>
    <w:link w:val="Titre1C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pPr>
      <w:tabs>
        <w:tab w:val="center" w:pos="4536"/>
        <w:tab w:val="right" w:pos="9072"/>
      </w:tabs>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536"/>
        <w:tab w:val="right" w:pos="9072"/>
      </w:tabs>
      <w:spacing w:after="0" w:line="240" w:lineRule="auto"/>
    </w:pPr>
  </w:style>
  <w:style w:type="character" w:customStyle="1" w:styleId="PieddepageCar">
    <w:name w:val="Pied de page Car"/>
    <w:basedOn w:val="Policepardfaut"/>
    <w:link w:val="Pieddepage"/>
    <w:uiPriority w:val="99"/>
  </w:style>
  <w:style w:type="character" w:styleId="Lienhypertexte">
    <w:name w:val="Hyperlink"/>
    <w:basedOn w:val="Policepardfaut"/>
    <w:uiPriority w:val="99"/>
    <w:unhideWhenUsed/>
    <w:rPr>
      <w:color w:val="0563C1" w:themeColor="hyperlink"/>
      <w:u w:val="single"/>
    </w:rPr>
  </w:style>
  <w:style w:type="paragraph" w:styleId="Paragraphedeliste">
    <w:name w:val="List Paragraph"/>
    <w:basedOn w:val="Normal"/>
    <w:uiPriority w:val="34"/>
    <w:qFormat/>
    <w:pPr>
      <w:ind w:left="720"/>
      <w:contextualSpacing/>
    </w:pPr>
  </w:style>
  <w:style w:type="paragraph" w:styleId="Commentaire">
    <w:name w:val="annotation text"/>
    <w:basedOn w:val="Normal"/>
    <w:link w:val="CommentaireCar"/>
    <w:uiPriority w:val="99"/>
    <w:unhideWhenUsed/>
    <w:pPr>
      <w:spacing w:line="240" w:lineRule="auto"/>
    </w:pPr>
    <w:rPr>
      <w:sz w:val="20"/>
      <w:szCs w:val="20"/>
    </w:rPr>
  </w:style>
  <w:style w:type="character" w:customStyle="1" w:styleId="CommentaireCar">
    <w:name w:val="Commentaire Car"/>
    <w:basedOn w:val="Policepardfaut"/>
    <w:link w:val="Commentaire"/>
    <w:uiPriority w:val="99"/>
    <w:rPr>
      <w:sz w:val="20"/>
      <w:szCs w:val="20"/>
    </w:rPr>
  </w:style>
  <w:style w:type="character" w:styleId="Marquedecommentaire">
    <w:name w:val="annotation reference"/>
    <w:basedOn w:val="Policepardfaut"/>
    <w:uiPriority w:val="99"/>
    <w:semiHidden/>
    <w:unhideWhenUsed/>
    <w:rPr>
      <w:sz w:val="16"/>
      <w:szCs w:val="16"/>
    </w:rPr>
  </w:style>
  <w:style w:type="table" w:styleId="Grilledutableau">
    <w:name w:val="Table Grid"/>
    <w:basedOn w:val="Tableau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edebulles">
    <w:name w:val="Balloon Text"/>
    <w:basedOn w:val="Normal"/>
    <w:link w:val="TextedebullesCar"/>
    <w:uiPriority w:val="99"/>
    <w:semiHidden/>
    <w:unhideWhenUse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Pr>
      <w:rFonts w:ascii="Segoe UI" w:hAnsi="Segoe UI" w:cs="Segoe UI"/>
      <w:sz w:val="18"/>
      <w:szCs w:val="18"/>
    </w:rPr>
  </w:style>
  <w:style w:type="character" w:styleId="Lienhypertextesuivivisit">
    <w:name w:val="FollowedHyperlink"/>
    <w:basedOn w:val="Policepardfaut"/>
    <w:uiPriority w:val="99"/>
    <w:semiHidden/>
    <w:unhideWhenUsed/>
    <w:rPr>
      <w:color w:val="954F72" w:themeColor="followedHyperlink"/>
      <w:u w:val="single"/>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b/>
      <w:bCs/>
      <w:sz w:val="20"/>
      <w:szCs w:val="20"/>
    </w:rPr>
  </w:style>
  <w:style w:type="character" w:styleId="Mentionnonrsolue">
    <w:name w:val="Unresolved Mention"/>
    <w:basedOn w:val="Policepardfaut"/>
    <w:uiPriority w:val="99"/>
    <w:semiHidden/>
    <w:unhideWhenUsed/>
    <w:rPr>
      <w:color w:val="605E5C"/>
      <w:shd w:val="clear" w:color="auto" w:fill="E1DFDD"/>
    </w:rPr>
  </w:style>
  <w:style w:type="paragraph" w:styleId="Rvision">
    <w:name w:val="Revision"/>
    <w:hidden/>
    <w:uiPriority w:val="99"/>
    <w:semiHidden/>
    <w:pPr>
      <w:spacing w:after="0" w:line="240" w:lineRule="auto"/>
    </w:pPr>
  </w:style>
  <w:style w:type="paragraph" w:customStyle="1" w:styleId="TitreCRACHUSJ">
    <w:name w:val="Titre CRACHUSJ"/>
    <w:basedOn w:val="Titre"/>
    <w:link w:val="TitreCRACHUSJCar"/>
    <w:autoRedefine/>
    <w:qFormat/>
    <w:pPr>
      <w:jc w:val="center"/>
    </w:pPr>
    <w:rPr>
      <w:rFonts w:ascii="Arial" w:hAnsi="Arial"/>
      <w:b/>
      <w:noProof/>
      <w:sz w:val="32"/>
    </w:rPr>
  </w:style>
  <w:style w:type="paragraph" w:customStyle="1" w:styleId="Titre1CRACHUSJ">
    <w:name w:val="Titre 1 CRACHUSJ"/>
    <w:basedOn w:val="Titre1"/>
    <w:link w:val="Titre1CRACHUSJCar"/>
    <w:autoRedefine/>
    <w:qFormat/>
    <w:pPr>
      <w:numPr>
        <w:numId w:val="6"/>
      </w:numPr>
    </w:pPr>
    <w:rPr>
      <w:rFonts w:ascii="Arial" w:hAnsi="Arial" w:cs="Arial"/>
      <w:b/>
      <w:bCs/>
      <w:color w:val="auto"/>
      <w:sz w:val="28"/>
      <w:szCs w:val="26"/>
    </w:rPr>
  </w:style>
  <w:style w:type="character" w:customStyle="1" w:styleId="Titre1Car">
    <w:name w:val="Titre 1 Car"/>
    <w:basedOn w:val="Policepardfaut"/>
    <w:link w:val="Titre1"/>
    <w:uiPriority w:val="9"/>
    <w:rPr>
      <w:rFonts w:asciiTheme="majorHAnsi" w:eastAsiaTheme="majorEastAsia" w:hAnsiTheme="majorHAnsi" w:cstheme="majorBidi"/>
      <w:color w:val="2F5496" w:themeColor="accent1" w:themeShade="BF"/>
      <w:sz w:val="32"/>
      <w:szCs w:val="32"/>
    </w:rPr>
  </w:style>
  <w:style w:type="character" w:customStyle="1" w:styleId="TitreCRACHUSJCar">
    <w:name w:val="Titre CRACHUSJ Car"/>
    <w:basedOn w:val="Titre1Car"/>
    <w:link w:val="TitreCRACHUSJ"/>
    <w:rPr>
      <w:rFonts w:ascii="Arial" w:eastAsiaTheme="majorEastAsia" w:hAnsi="Arial" w:cstheme="majorBidi"/>
      <w:b/>
      <w:noProof/>
      <w:color w:val="2F5496" w:themeColor="accent1" w:themeShade="BF"/>
      <w:spacing w:val="-10"/>
      <w:kern w:val="28"/>
      <w:sz w:val="32"/>
      <w:szCs w:val="56"/>
    </w:rPr>
  </w:style>
  <w:style w:type="paragraph" w:customStyle="1" w:styleId="Titre2CRACHUSJ">
    <w:name w:val="Titre 2 CRACHUSJ"/>
    <w:basedOn w:val="Titre2"/>
    <w:link w:val="Titre2CRACHUSJCar"/>
    <w:autoRedefine/>
    <w:qFormat/>
    <w:rPr>
      <w:rFonts w:ascii="Arial" w:hAnsi="Arial" w:cs="Arial"/>
      <w:b/>
      <w:bCs/>
      <w:color w:val="auto"/>
      <w:szCs w:val="24"/>
    </w:rPr>
  </w:style>
  <w:style w:type="character" w:customStyle="1" w:styleId="Titre1CRACHUSJCar">
    <w:name w:val="Titre 1 CRACHUSJ Car"/>
    <w:basedOn w:val="Titre1Car"/>
    <w:link w:val="Titre1CRACHUSJ"/>
    <w:rPr>
      <w:rFonts w:ascii="Arial" w:eastAsiaTheme="majorEastAsia" w:hAnsi="Arial" w:cs="Arial"/>
      <w:b/>
      <w:bCs/>
      <w:color w:val="2F5496" w:themeColor="accent1" w:themeShade="BF"/>
      <w:sz w:val="28"/>
      <w:szCs w:val="26"/>
    </w:rPr>
  </w:style>
  <w:style w:type="paragraph" w:styleId="Titre">
    <w:name w:val="Title"/>
    <w:basedOn w:val="Normal"/>
    <w:next w:val="Normal"/>
    <w:link w:val="TitreC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Pr>
      <w:rFonts w:asciiTheme="majorHAnsi" w:eastAsiaTheme="majorEastAsia" w:hAnsiTheme="majorHAnsi" w:cstheme="majorBidi"/>
      <w:spacing w:val="-10"/>
      <w:kern w:val="28"/>
      <w:sz w:val="56"/>
      <w:szCs w:val="56"/>
    </w:rPr>
  </w:style>
  <w:style w:type="paragraph" w:customStyle="1" w:styleId="ParagbasCRACHUSJ">
    <w:name w:val="Parag bas CRACHUSJ"/>
    <w:basedOn w:val="Normal"/>
    <w:link w:val="ParagbasCRACHUSJCar"/>
    <w:qFormat/>
    <w:pPr>
      <w:jc w:val="both"/>
    </w:pPr>
    <w:rPr>
      <w:rFonts w:eastAsia="Calibri" w:cs="Arial"/>
      <w:color w:val="000000" w:themeColor="text1"/>
      <w:sz w:val="26"/>
      <w:szCs w:val="26"/>
    </w:rPr>
  </w:style>
  <w:style w:type="character" w:customStyle="1" w:styleId="Titre2CRACHUSJCar">
    <w:name w:val="Titre 2 CRACHUSJ Car"/>
    <w:basedOn w:val="Policepardfaut"/>
    <w:link w:val="Titre2CRACHUSJ"/>
    <w:rPr>
      <w:rFonts w:ascii="Arial" w:eastAsiaTheme="majorEastAsia" w:hAnsi="Arial" w:cs="Arial"/>
      <w:b/>
      <w:bCs/>
      <w:sz w:val="26"/>
      <w:szCs w:val="24"/>
    </w:rPr>
  </w:style>
  <w:style w:type="character" w:customStyle="1" w:styleId="Titre2Car">
    <w:name w:val="Titre 2 Car"/>
    <w:basedOn w:val="Policepardfaut"/>
    <w:link w:val="Titre2"/>
    <w:uiPriority w:val="9"/>
    <w:semiHidden/>
    <w:rPr>
      <w:rFonts w:asciiTheme="majorHAnsi" w:eastAsiaTheme="majorEastAsia" w:hAnsiTheme="majorHAnsi" w:cstheme="majorBidi"/>
      <w:color w:val="2F5496" w:themeColor="accent1" w:themeShade="BF"/>
      <w:sz w:val="26"/>
      <w:szCs w:val="26"/>
    </w:rPr>
  </w:style>
  <w:style w:type="character" w:customStyle="1" w:styleId="ParagbasCRACHUSJCar">
    <w:name w:val="Parag bas CRACHUSJ Car"/>
    <w:basedOn w:val="Policepardfaut"/>
    <w:link w:val="ParagbasCRACHUSJ"/>
    <w:rPr>
      <w:rFonts w:ascii="Arial" w:eastAsia="Calibri" w:hAnsi="Arial" w:cs="Arial"/>
      <w:color w:val="000000" w:themeColor="text1"/>
      <w:sz w:val="26"/>
      <w:szCs w:val="26"/>
    </w:rPr>
  </w:style>
  <w:style w:type="paragraph" w:customStyle="1" w:styleId="Desc-section">
    <w:name w:val="Desc-section"/>
    <w:basedOn w:val="Normal"/>
    <w:link w:val="Desc-sectionCar"/>
    <w:autoRedefine/>
    <w:qFormat/>
    <w:pPr>
      <w:spacing w:after="0"/>
      <w:ind w:left="360"/>
      <w:contextualSpacing/>
      <w:jc w:val="both"/>
    </w:pPr>
    <w:rPr>
      <w:lang w:val="en-CA"/>
    </w:rPr>
  </w:style>
  <w:style w:type="character" w:customStyle="1" w:styleId="Desc-sectionCar">
    <w:name w:val="Desc-section Car"/>
    <w:basedOn w:val="Policepardfaut"/>
    <w:link w:val="Desc-section"/>
    <w:rPr>
      <w:rFonts w:ascii="Arial" w:hAnsi="Arial"/>
      <w:lang w:val="en-CA"/>
    </w:rPr>
  </w:style>
  <w:style w:type="paragraph" w:customStyle="1" w:styleId="Directives-corps">
    <w:name w:val="Directives-corps"/>
    <w:basedOn w:val="Normal"/>
    <w:next w:val="Normal"/>
    <w:link w:val="Directives-corpsCar"/>
    <w:autoRedefine/>
    <w:qFormat/>
    <w:pPr>
      <w:spacing w:after="0" w:line="240" w:lineRule="auto"/>
      <w:ind w:left="709"/>
      <w:jc w:val="both"/>
    </w:pPr>
    <w:rPr>
      <w:i/>
      <w:iCs/>
      <w:lang w:val="en-CA"/>
    </w:rPr>
  </w:style>
  <w:style w:type="character" w:customStyle="1" w:styleId="Directives-corpsCar">
    <w:name w:val="Directives-corps Car"/>
    <w:basedOn w:val="Policepardfaut"/>
    <w:link w:val="Directives-corps"/>
    <w:rPr>
      <w:rFonts w:ascii="Arial" w:hAnsi="Arial"/>
      <w:i/>
      <w:iCs/>
      <w:lang w:val="en-CA"/>
    </w:rPr>
  </w:style>
  <w:style w:type="paragraph" w:customStyle="1" w:styleId="Directives-intitul">
    <w:name w:val="Directives-intitulé"/>
    <w:basedOn w:val="Normal"/>
    <w:next w:val="Directives-corps"/>
    <w:link w:val="Directives-intitulCar"/>
    <w:autoRedefine/>
    <w:qFormat/>
    <w:pPr>
      <w:spacing w:after="0" w:line="240" w:lineRule="auto"/>
      <w:ind w:left="709"/>
      <w:jc w:val="both"/>
    </w:pPr>
    <w:rPr>
      <w:i/>
      <w:iCs/>
      <w:u w:val="single"/>
      <w:lang w:val="en-CA"/>
    </w:rPr>
  </w:style>
  <w:style w:type="character" w:customStyle="1" w:styleId="Directives-intitulCar">
    <w:name w:val="Directives-intitulé Car"/>
    <w:basedOn w:val="Policepardfaut"/>
    <w:link w:val="Directives-intitul"/>
    <w:rPr>
      <w:rFonts w:ascii="Arial" w:hAnsi="Arial"/>
      <w:i/>
      <w:iCs/>
      <w:u w:val="single"/>
      <w:lang w:val="en-CA"/>
    </w:rPr>
  </w:style>
  <w:style w:type="paragraph" w:customStyle="1" w:styleId="Exemple-corps">
    <w:name w:val="Exemple-corps"/>
    <w:basedOn w:val="Normal"/>
    <w:link w:val="Exemple-corpsCar"/>
    <w:autoRedefine/>
    <w:qFormat/>
    <w:pPr>
      <w:spacing w:after="0" w:line="240" w:lineRule="auto"/>
      <w:ind w:left="709"/>
      <w:jc w:val="both"/>
    </w:pPr>
    <w:rPr>
      <w:i/>
      <w:iCs/>
      <w:lang w:val="en-CA"/>
    </w:rPr>
  </w:style>
  <w:style w:type="character" w:customStyle="1" w:styleId="Exemple-corpsCar">
    <w:name w:val="Exemple-corps Car"/>
    <w:basedOn w:val="Policepardfaut"/>
    <w:link w:val="Exemple-corps"/>
    <w:rPr>
      <w:rFonts w:ascii="Arial" w:hAnsi="Arial"/>
      <w:i/>
      <w:iCs/>
      <w:lang w:val="en-CA"/>
    </w:rPr>
  </w:style>
  <w:style w:type="paragraph" w:customStyle="1" w:styleId="Exemple-intitul">
    <w:name w:val="Exemple-intitulé"/>
    <w:basedOn w:val="Normal"/>
    <w:link w:val="Exemple-intitulCar"/>
    <w:qFormat/>
    <w:pPr>
      <w:spacing w:after="0" w:line="240" w:lineRule="auto"/>
      <w:ind w:firstLine="709"/>
      <w:jc w:val="both"/>
    </w:pPr>
    <w:rPr>
      <w:i/>
      <w:iCs/>
      <w:u w:val="single"/>
      <w:lang w:val="en-CA"/>
    </w:rPr>
  </w:style>
  <w:style w:type="character" w:customStyle="1" w:styleId="Exemple-intitulCar">
    <w:name w:val="Exemple-intitulé Car"/>
    <w:basedOn w:val="Policepardfaut"/>
    <w:link w:val="Exemple-intitul"/>
    <w:rPr>
      <w:rFonts w:ascii="Arial" w:hAnsi="Arial"/>
      <w:i/>
      <w:iCs/>
      <w:u w:val="single"/>
      <w:lang w:val="en-CA"/>
    </w:rPr>
  </w:style>
  <w:style w:type="paragraph" w:customStyle="1" w:styleId="Question-PGD">
    <w:name w:val="Question-PGD"/>
    <w:basedOn w:val="Normal"/>
    <w:link w:val="Question-PGDCar"/>
    <w:autoRedefine/>
    <w:qFormat/>
    <w:pPr>
      <w:jc w:val="both"/>
    </w:pPr>
    <w:rPr>
      <w:b/>
      <w:bCs/>
      <w:sz w:val="24"/>
      <w:lang w:val="en-CA"/>
    </w:rPr>
  </w:style>
  <w:style w:type="character" w:customStyle="1" w:styleId="Question-PGDCar">
    <w:name w:val="Question-PGD Car"/>
    <w:basedOn w:val="Policepardfaut"/>
    <w:link w:val="Question-PGD"/>
    <w:rPr>
      <w:rFonts w:ascii="Arial" w:hAnsi="Arial"/>
      <w:b/>
      <w:bCs/>
      <w:sz w:val="24"/>
      <w:lang w:val="en-CA"/>
    </w:rPr>
  </w:style>
  <w:style w:type="paragraph" w:customStyle="1" w:styleId="Ress-corps">
    <w:name w:val="Ress-corps"/>
    <w:basedOn w:val="Normal"/>
    <w:link w:val="Ress-corpsCar"/>
    <w:autoRedefine/>
    <w:qFormat/>
    <w:pPr>
      <w:ind w:left="709"/>
      <w:jc w:val="both"/>
    </w:pPr>
    <w:rPr>
      <w:b/>
    </w:rPr>
  </w:style>
  <w:style w:type="character" w:customStyle="1" w:styleId="Ress-corpsCar">
    <w:name w:val="Ress-corps Car"/>
    <w:basedOn w:val="Policepardfaut"/>
    <w:link w:val="Ress-corps"/>
    <w:rPr>
      <w:rFonts w:ascii="Arial" w:hAnsi="Arial"/>
      <w:b/>
    </w:rPr>
  </w:style>
  <w:style w:type="paragraph" w:customStyle="1" w:styleId="Ress-intitul">
    <w:name w:val="Ress-intitulé"/>
    <w:basedOn w:val="Normal"/>
    <w:next w:val="Ress-corps"/>
    <w:link w:val="Ress-intitulCar"/>
    <w:autoRedefine/>
    <w:qFormat/>
    <w:pPr>
      <w:spacing w:after="0" w:line="240" w:lineRule="auto"/>
      <w:ind w:left="709"/>
      <w:jc w:val="both"/>
    </w:pPr>
    <w:rPr>
      <w:i/>
      <w:iCs/>
      <w:u w:val="single"/>
      <w:lang w:val="en-CA"/>
    </w:rPr>
  </w:style>
  <w:style w:type="character" w:customStyle="1" w:styleId="Ress-intitulCar">
    <w:name w:val="Ress-intitulé Car"/>
    <w:basedOn w:val="Policepardfaut"/>
    <w:link w:val="Ress-intitul"/>
    <w:rPr>
      <w:rFonts w:ascii="Arial" w:hAnsi="Arial"/>
      <w:i/>
      <w:iCs/>
      <w:u w:val="single"/>
      <w:lang w:val="en-CA"/>
    </w:rPr>
  </w:style>
  <w:style w:type="paragraph" w:styleId="En-ttedetabledesmatires">
    <w:name w:val="TOC Heading"/>
    <w:basedOn w:val="Titre1"/>
    <w:next w:val="Normal"/>
    <w:uiPriority w:val="39"/>
    <w:unhideWhenUsed/>
    <w:qFormat/>
    <w:pPr>
      <w:outlineLvl w:val="9"/>
    </w:pPr>
    <w:rPr>
      <w:lang w:eastAsia="fr-CA"/>
    </w:rPr>
  </w:style>
  <w:style w:type="paragraph" w:styleId="TM1">
    <w:name w:val="toc 1"/>
    <w:basedOn w:val="Normal"/>
    <w:next w:val="Normal"/>
    <w:autoRedefine/>
    <w:uiPriority w:val="39"/>
    <w:unhideWhenUsed/>
    <w:pPr>
      <w:spacing w:after="100"/>
    </w:pPr>
  </w:style>
  <w:style w:type="paragraph" w:customStyle="1" w:styleId="EspaceentreQDirectives">
    <w:name w:val="Espace entre Q&amp;Directives"/>
    <w:basedOn w:val="Normal"/>
    <w:link w:val="EspaceentreQDirectivesCar"/>
    <w:qFormat/>
    <w:pPr>
      <w:spacing w:after="0" w:line="240" w:lineRule="auto"/>
    </w:pPr>
    <w:rPr>
      <w:lang w:val="en-CA"/>
    </w:rPr>
  </w:style>
  <w:style w:type="character" w:customStyle="1" w:styleId="EspaceentreQDirectivesCar">
    <w:name w:val="Espace entre Q&amp;Directives Car"/>
    <w:basedOn w:val="Policepardfaut"/>
    <w:link w:val="EspaceentreQDirectives"/>
    <w:rPr>
      <w:rFonts w:ascii="Arial" w:hAnsi="Arial"/>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mp-pgd.ca/" TargetMode="External"/><Relationship Id="rId18" Type="http://schemas.openxmlformats.org/officeDocument/2006/relationships/hyperlink" Target="mailto:soutien.gdr.hsj@ssss.gouv.qc.ca" TargetMode="External"/><Relationship Id="rId26" Type="http://schemas.openxmlformats.org/officeDocument/2006/relationships/hyperlink" Target="https://enseignement.chusj.org/getmedia/31c7c796-dd04-4e04-b0bb-dd05125d9d73/GUI_gdr_nommage_fichiers_v02.pdf" TargetMode="External"/><Relationship Id="rId39" Type="http://schemas.openxmlformats.org/officeDocument/2006/relationships/hyperlink" Target="https://ukdataservice.ac.uk/learning-hub/research-data-management/anonymisation/anonymising-quantitative-data/" TargetMode="External"/><Relationship Id="rId21" Type="http://schemas.openxmlformats.org/officeDocument/2006/relationships/hyperlink" Target="https://doranum.fr/wp-content/uploads/FS2_liste_indicative_formats_V1.pdf" TargetMode="External"/><Relationship Id="rId34" Type="http://schemas.openxmlformats.org/officeDocument/2006/relationships/hyperlink" Target="https://enseignement.chusj.org/getmedia/20d9dc77-b421-4659-85ab-d20c2fbba966/GUI_gdr_stockage_donnees_v02_1.pdf" TargetMode="External"/><Relationship Id="rId42" Type="http://schemas.openxmlformats.org/officeDocument/2006/relationships/hyperlink" Target="https://fnigc.ca/fr/les-principes-de-pcap-des-premieres-nations/" TargetMode="External"/><Relationship Id="rId47" Type="http://schemas.openxmlformats.org/officeDocument/2006/relationships/hyperlink" Target="https://cssspnql.com/produit/boite-a-outils-des-principes-de-la-recherche-en-contexte-autochtone-contributions-evaluees-par-les-pairs/" TargetMode="External"/><Relationship Id="rId50" Type="http://schemas.openxmlformats.org/officeDocument/2006/relationships/hyperlink" Target="https://www.dcc.ac.uk/guidance/how-guides/cite-datasets" TargetMode="External"/><Relationship Id="rId55" Type="http://schemas.openxmlformats.org/officeDocument/2006/relationships/footer" Target="foot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science.gc.ca/site/science/fr/financement-interorganismes-recherche/politiques-lignes-directrices/gestion-donnees-recherche" TargetMode="External"/><Relationship Id="rId29" Type="http://schemas.openxmlformats.org/officeDocument/2006/relationships/hyperlink" Target="https://help.osf.io/article/217-how-to-make-a-data-dictionary" TargetMode="External"/><Relationship Id="rId11" Type="http://schemas.openxmlformats.org/officeDocument/2006/relationships/endnotes" Target="endnotes.xml"/><Relationship Id="rId24" Type="http://schemas.openxmlformats.org/officeDocument/2006/relationships/hyperlink" Target="https://statistique.quebec.ca/fr/institut/services-recherche/donnees" TargetMode="External"/><Relationship Id="rId32" Type="http://schemas.openxmlformats.org/officeDocument/2006/relationships/hyperlink" Target="https://researchdata.library.ubc.ca/plan/document-describe-your-data/" TargetMode="External"/><Relationship Id="rId37" Type="http://schemas.openxmlformats.org/officeDocument/2006/relationships/hyperlink" Target="https://enseignement.chusj.org/fr/bibliotheques/les-Ressources/Gestion-de-donnees-de-recherche/Lexique" TargetMode="External"/><Relationship Id="rId40" Type="http://schemas.openxmlformats.org/officeDocument/2006/relationships/hyperlink" Target="https://ukdataservice.ac.uk/learning-hub/research-data-management/anonymisation/anonymising-qualitative-data/" TargetMode="External"/><Relationship Id="rId45" Type="http://schemas.openxmlformats.org/officeDocument/2006/relationships/hyperlink" Target="https://www.dcc.ac.uk/guidance/how-guides/license-research-data" TargetMode="External"/><Relationship Id="rId53" Type="http://schemas.openxmlformats.org/officeDocument/2006/relationships/hyperlink" Target="mailto:jean.tremblay.hsj@ssss.gouv.qc.ca" TargetMode="External"/><Relationship Id="rId5" Type="http://schemas.openxmlformats.org/officeDocument/2006/relationships/customXml" Target="../customXml/item5.xml"/><Relationship Id="rId19" Type="http://schemas.openxmlformats.org/officeDocument/2006/relationships/hyperlink" Target="https://www.canada.ca/fr/reseau-information-patrimoine/services/preservation-numerique/recommandations-formats-fichier-preservation-numerique.html" TargetMode="External"/><Relationship Id="rId56" Type="http://schemas.openxmlformats.org/officeDocument/2006/relationships/fontTable" Target="fontTable.xml"/><Relationship Id="rId9" Type="http://schemas.openxmlformats.org/officeDocument/2006/relationships/webSettings" Target="webSettings.xml"/><Relationship Id="rId14" Type="http://schemas.openxmlformats.org/officeDocument/2006/relationships/hyperlink" Target="https://enseignement.chusj.org/fr/bibliotheques/les-Ressources/Gestion-de-donnees-de-recherche/PGD" TargetMode="External"/><Relationship Id="rId22" Type="http://schemas.openxmlformats.org/officeDocument/2006/relationships/hyperlink" Target="https://ukdataservice.ac.uk/learning-hub/research-data-management/" TargetMode="External"/><Relationship Id="rId27" Type="http://schemas.openxmlformats.org/officeDocument/2006/relationships/hyperlink" Target="https://cours.ebsi.umontreal.ca/sci6005/co/nommage.html" TargetMode="External"/><Relationship Id="rId30" Type="http://schemas.openxmlformats.org/officeDocument/2006/relationships/hyperlink" Target="https://crchusj.elab.one/login.php" TargetMode="External"/><Relationship Id="rId35" Type="http://schemas.openxmlformats.org/officeDocument/2006/relationships/hyperlink" Target="https://www.canada.ca/fr/reseau-information-patrimoine/services/preservation-numerique/recommandations-formats-fichier-preservation-numerique.html" TargetMode="External"/><Relationship Id="rId43" Type="http://schemas.openxmlformats.org/officeDocument/2006/relationships/hyperlink" Target="https://opendatacommons.org/licenses/" TargetMode="External"/><Relationship Id="rId48" Type="http://schemas.openxmlformats.org/officeDocument/2006/relationships/hyperlink" Target="https://borealisdata.ca/fr/" TargetMode="External"/><Relationship Id="rId8" Type="http://schemas.openxmlformats.org/officeDocument/2006/relationships/settings" Target="settings.xml"/><Relationship Id="rId51" Type="http://schemas.openxmlformats.org/officeDocument/2006/relationships/hyperlink" Target="https://coop-ist.cirad.fr/gerer-des-donnees/publier-un-data-paper/1-qu-est-ce-qu-un-data-paper"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enseignement.chusj.org/fr/bibliotheques/les-Ressources/Gestion-de-donnees-de-recherche" TargetMode="External"/><Relationship Id="rId25" Type="http://schemas.openxmlformats.org/officeDocument/2006/relationships/hyperlink" Target="https://bibliotheque.uqac.ca/c.php?g=723711&amp;p=5180030" TargetMode="External"/><Relationship Id="rId33" Type="http://schemas.openxmlformats.org/officeDocument/2006/relationships/hyperlink" Target="https://bids-specification.readthedocs.io/en/stable/" TargetMode="External"/><Relationship Id="rId38" Type="http://schemas.openxmlformats.org/officeDocument/2006/relationships/hyperlink" Target="https://researchdata.library.ubc.ca/deposit/anonymize-and-de-identify/" TargetMode="External"/><Relationship Id="rId46" Type="http://schemas.openxmlformats.org/officeDocument/2006/relationships/hyperlink" Target="https://fnigc.ca/fr/les-principes-de-pcap-des-premieres-nations/" TargetMode="External"/><Relationship Id="rId59" Type="http://schemas.microsoft.com/office/2018/08/relationships/commentsExtensible" Target="commentsExtensible.xml"/><Relationship Id="rId20" Type="http://schemas.openxmlformats.org/officeDocument/2006/relationships/hyperlink" Target="https://numerique.banq.qc.ca/patrimoine/details/52327/4076856" TargetMode="External"/><Relationship Id="rId41" Type="http://schemas.openxmlformats.org/officeDocument/2006/relationships/hyperlink" Target="https://www.gida-global.org/care"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dmp-pgd.ca/" TargetMode="External"/><Relationship Id="rId23" Type="http://schemas.openxmlformats.org/officeDocument/2006/relationships/hyperlink" Target="https://enseignement.chusj.org/getmedia/8bd179d5-563c-4674-b9fb-ff4b53c097c5/guide_gdr_sondage_1.pdf" TargetMode="External"/><Relationship Id="rId28" Type="http://schemas.openxmlformats.org/officeDocument/2006/relationships/hyperlink" Target="https://uqtr.libguides.com/ld.php?content_id=35593298" TargetMode="External"/><Relationship Id="rId36" Type="http://schemas.openxmlformats.org/officeDocument/2006/relationships/hyperlink" Target="https://ukdataservice.ac.uk/learning-hub/research-data-management/format-your-data/recommended-formats/" TargetMode="External"/><Relationship Id="rId49" Type="http://schemas.openxmlformats.org/officeDocument/2006/relationships/hyperlink" Target="https://www.re3data.org/" TargetMode="External"/><Relationship Id="rId57" Type="http://schemas.openxmlformats.org/officeDocument/2006/relationships/theme" Target="theme/theme1.xml"/><Relationship Id="rId10" Type="http://schemas.openxmlformats.org/officeDocument/2006/relationships/footnotes" Target="footnotes.xml"/><Relationship Id="rId31" Type="http://schemas.openxmlformats.org/officeDocument/2006/relationships/hyperlink" Target="https://www.datacc.org/bonnes-pratiques/utiliser-un-cahier-de-laboratoire-numerique/" TargetMode="External"/><Relationship Id="rId44" Type="http://schemas.openxmlformats.org/officeDocument/2006/relationships/hyperlink" Target="https://chooser-beta.creativecommons.org/" TargetMode="External"/><Relationship Id="rId52" Type="http://schemas.openxmlformats.org/officeDocument/2006/relationships/hyperlink" Target="https://doranum.fr/identifiants-perennes-pid/" TargetMode="External"/><Relationship Id="rId60" Type="http://schemas.microsoft.com/office/2020/10/relationships/intelligence" Target="intelligence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DC034A3AA52C4E9843432B5F2BD277" ma:contentTypeVersion="13" ma:contentTypeDescription="Crée un document." ma:contentTypeScope="" ma:versionID="c7147aab622fd6a45b27235603fbf0e1">
  <xsd:schema xmlns:xsd="http://www.w3.org/2001/XMLSchema" xmlns:xs="http://www.w3.org/2001/XMLSchema" xmlns:p="http://schemas.microsoft.com/office/2006/metadata/properties" xmlns:ns2="48433b6d-b646-4d8a-be06-8b965e3d58d3" xmlns:ns3="000a0363-a861-441e-9eef-a12cf8c0c028" targetNamespace="http://schemas.microsoft.com/office/2006/metadata/properties" ma:root="true" ma:fieldsID="9442998a29d966ed75a39b4f4193da68" ns2:_="" ns3:_="">
    <xsd:import namespace="48433b6d-b646-4d8a-be06-8b965e3d58d3"/>
    <xsd:import namespace="000a0363-a861-441e-9eef-a12cf8c0c02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33b6d-b646-4d8a-be06-8b965e3d58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alises d’images" ma:readOnly="false" ma:fieldId="{5cf76f15-5ced-4ddc-b409-7134ff3c332f}" ma:taxonomyMulti="true" ma:sspId="20125e5a-fbbd-4a39-926c-a359310fd25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00a0363-a861-441e-9eef-a12cf8c0c028"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8433b6d-b646-4d8a-be06-8b965e3d58d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0DC034A3AA52C4E9843432B5F2BD277" ma:contentTypeVersion="13" ma:contentTypeDescription="Create a new document." ma:contentTypeScope="" ma:versionID="eed49f72470deaa7425a09ba8a7cb80f">
  <xsd:schema xmlns:xsd="http://www.w3.org/2001/XMLSchema" xmlns:xs="http://www.w3.org/2001/XMLSchema" xmlns:p="http://schemas.microsoft.com/office/2006/metadata/properties" xmlns:ns2="48433b6d-b646-4d8a-be06-8b965e3d58d3" xmlns:ns3="000a0363-a861-441e-9eef-a12cf8c0c028" targetNamespace="http://schemas.microsoft.com/office/2006/metadata/properties" ma:root="true" ma:fieldsID="9ddc3d30ca5a6adebde9db972cee82a1" ns2:_="" ns3:_="">
    <xsd:import namespace="48433b6d-b646-4d8a-be06-8b965e3d58d3"/>
    <xsd:import namespace="000a0363-a861-441e-9eef-a12cf8c0c02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33b6d-b646-4d8a-be06-8b965e3d58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0125e5a-fbbd-4a39-926c-a359310fd25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00a0363-a861-441e-9eef-a12cf8c0c02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64572C-7AE2-45EE-8D6F-7BCAD84629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33b6d-b646-4d8a-be06-8b965e3d58d3"/>
    <ds:schemaRef ds:uri="000a0363-a861-441e-9eef-a12cf8c0c0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84B7BB-E67B-456A-B8BD-6CA5BF4653BC}">
  <ds:schemaRefs>
    <ds:schemaRef ds:uri="http://schemas.microsoft.com/sharepoint/v3/contenttype/forms"/>
  </ds:schemaRefs>
</ds:datastoreItem>
</file>

<file path=customXml/itemProps3.xml><?xml version="1.0" encoding="utf-8"?>
<ds:datastoreItem xmlns:ds="http://schemas.openxmlformats.org/officeDocument/2006/customXml" ds:itemID="{33A0103E-086F-4FC0-810B-8ED2979E9A8F}">
  <ds:schemaRefs>
    <ds:schemaRef ds:uri="http://purl.org/dc/dcmitype/"/>
    <ds:schemaRef ds:uri="http://schemas.microsoft.com/office/2006/documentManagement/types"/>
    <ds:schemaRef ds:uri="http://schemas.microsoft.com/office/2006/metadata/properties"/>
    <ds:schemaRef ds:uri="48433b6d-b646-4d8a-be06-8b965e3d58d3"/>
    <ds:schemaRef ds:uri="http://www.w3.org/XML/1998/namespace"/>
    <ds:schemaRef ds:uri="http://schemas.microsoft.com/office/infopath/2007/PartnerControls"/>
    <ds:schemaRef ds:uri="000a0363-a861-441e-9eef-a12cf8c0c028"/>
    <ds:schemaRef ds:uri="http://schemas.openxmlformats.org/package/2006/metadata/core-properties"/>
    <ds:schemaRef ds:uri="http://purl.org/dc/terms/"/>
    <ds:schemaRef ds:uri="http://purl.org/dc/elements/1.1/"/>
  </ds:schemaRefs>
</ds:datastoreItem>
</file>

<file path=customXml/itemProps4.xml><?xml version="1.0" encoding="utf-8"?>
<ds:datastoreItem xmlns:ds="http://schemas.openxmlformats.org/officeDocument/2006/customXml" ds:itemID="{DAED3420-10A2-485D-B30D-90F8D929F1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33b6d-b646-4d8a-be06-8b965e3d58d3"/>
    <ds:schemaRef ds:uri="000a0363-a861-441e-9eef-a12cf8c0c0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4065050-7613-41EA-9C9A-01002D0F2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21</Pages>
  <Words>8282</Words>
  <Characters>45551</Characters>
  <Application>Microsoft Office Word</Application>
  <DocSecurity>0</DocSecurity>
  <Lines>379</Lines>
  <Paragraphs>107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Goulet-Cloutier</dc:creator>
  <cp:keywords/>
  <dc:description/>
  <cp:lastModifiedBy>Mathilde Sainte-Marie</cp:lastModifiedBy>
  <cp:revision>14</cp:revision>
  <cp:lastPrinted>2025-08-13T21:52:00Z</cp:lastPrinted>
  <dcterms:created xsi:type="dcterms:W3CDTF">2025-09-24T16:47:00Z</dcterms:created>
  <dcterms:modified xsi:type="dcterms:W3CDTF">2025-09-29T14:04:00Z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0x01010080DC034A3AA52C4E9843432B5F2BD277</vt:lpwstr>
  </property>
  <property fmtid="{D5CDD505-2E9C-101B-9397-08002B2CF9AE}" pid="3" name="MSIP_Label_6a7d8d5d-78e2-4a62-9fcd-016eb5e4c57c_Enabled">
    <vt:lpwstr>true</vt:lpwstr>
  </property>
  <property fmtid="{D5CDD505-2E9C-101B-9397-08002B2CF9AE}" pid="4" name="MSIP_Label_6a7d8d5d-78e2-4a62-9fcd-016eb5e4c57c_SetDate">
    <vt:lpwstr>2024-04-17T19:02:32Z</vt:lpwstr>
  </property>
  <property fmtid="{D5CDD505-2E9C-101B-9397-08002B2CF9AE}" pid="5" name="MSIP_Label_6a7d8d5d-78e2-4a62-9fcd-016eb5e4c57c_Method">
    <vt:lpwstr>Standard</vt:lpwstr>
  </property>
  <property fmtid="{D5CDD505-2E9C-101B-9397-08002B2CF9AE}" pid="6" name="MSIP_Label_6a7d8d5d-78e2-4a62-9fcd-016eb5e4c57c_Name">
    <vt:lpwstr>Général</vt:lpwstr>
  </property>
  <property fmtid="{D5CDD505-2E9C-101B-9397-08002B2CF9AE}" pid="7" name="MSIP_Label_6a7d8d5d-78e2-4a62-9fcd-016eb5e4c57c_SiteId">
    <vt:lpwstr>06e1fe28-5f8b-4075-bf6c-ae24be1a7992</vt:lpwstr>
  </property>
  <property fmtid="{D5CDD505-2E9C-101B-9397-08002B2CF9AE}" pid="8" name="MSIP_Label_6a7d8d5d-78e2-4a62-9fcd-016eb5e4c57c_ActionId">
    <vt:lpwstr>5b0115b3-226d-44f7-8fa4-227b0be49ebd</vt:lpwstr>
  </property>
  <property fmtid="{D5CDD505-2E9C-101B-9397-08002B2CF9AE}" pid="9" name="MSIP_Label_6a7d8d5d-78e2-4a62-9fcd-016eb5e4c57c_ContentBits">
    <vt:lpwstr>0</vt:lpwstr>
  </property>
  <property fmtid="{D5CDD505-2E9C-101B-9397-08002B2CF9AE}" pid="10" name="MediaServiceImageTags">
    <vt:lpwstr/>
  </property>
</Properties>
</file>